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2637"/>
        <w:rPr>
          <w:rFonts w:ascii="Times New Roman"/>
          <w:sz w:val="20"/>
        </w:rPr>
      </w:pPr>
      <w:bookmarkStart w:id="0" w:name="_GoBack"/>
      <w:bookmarkEnd w:id="0"/>
      <w:r>
        <w:rPr>
          <w:rFonts w:ascii="Times New Roman"/>
          <w:sz w:val="20"/>
        </w:rPr>
        <w:drawing>
          <wp:inline distT="0" distB="0" distL="0" distR="0">
            <wp:extent cx="2086610" cy="9264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2086941" cy="926592"/>
                    </a:xfrm>
                    <a:prstGeom prst="rect">
                      <a:avLst/>
                    </a:prstGeom>
                  </pic:spPr>
                </pic:pic>
              </a:graphicData>
            </a:graphic>
          </wp:inline>
        </w:drawing>
      </w:r>
    </w:p>
    <w:p>
      <w:pPr>
        <w:pStyle w:val="3"/>
        <w:ind w:left="0"/>
        <w:rPr>
          <w:rFonts w:ascii="Times New Roman"/>
          <w:sz w:val="20"/>
        </w:rPr>
      </w:pPr>
    </w:p>
    <w:p>
      <w:pPr>
        <w:pStyle w:val="3"/>
        <w:spacing w:before="11"/>
        <w:ind w:left="0"/>
        <w:rPr>
          <w:rFonts w:ascii="Times New Roman"/>
          <w:sz w:val="19"/>
        </w:rPr>
      </w:pPr>
    </w:p>
    <w:p>
      <w:pPr>
        <w:spacing w:before="0" w:line="482" w:lineRule="exact"/>
        <w:ind w:left="210" w:right="0" w:firstLine="0"/>
        <w:jc w:val="left"/>
        <w:rPr>
          <w:rFonts w:hint="eastAsia" w:ascii="Microsoft JhengHei" w:hAnsi="Microsoft JhengHei" w:eastAsia="Microsoft JhengHei"/>
          <w:b/>
          <w:sz w:val="28"/>
        </w:rPr>
      </w:pPr>
      <w:r>
        <w:rPr>
          <w:rFonts w:hint="eastAsia" w:ascii="Microsoft JhengHei" w:hAnsi="Microsoft JhengHei" w:eastAsia="Microsoft JhengHei"/>
          <w:b/>
          <w:sz w:val="28"/>
        </w:rPr>
        <w:t>“技术通”国际技术交易促进协作⺴络国际创新技术项⺫服务说明</w:t>
      </w:r>
    </w:p>
    <w:p>
      <w:pPr>
        <w:pStyle w:val="3"/>
        <w:spacing w:before="1"/>
        <w:ind w:left="0"/>
        <w:rPr>
          <w:rFonts w:ascii="Microsoft JhengHei"/>
          <w:b/>
          <w:sz w:val="36"/>
        </w:rPr>
      </w:pPr>
    </w:p>
    <w:p>
      <w:pPr>
        <w:pStyle w:val="2"/>
        <w:ind w:left="120"/>
        <w:rPr>
          <w:rFonts w:hint="eastAsia" w:ascii="楷体" w:hAnsi="楷体" w:eastAsia="楷体"/>
        </w:rPr>
      </w:pPr>
      <w:r>
        <w:rPr>
          <w:rFonts w:hint="eastAsia" w:ascii="楷体" w:hAnsi="楷体" w:eastAsia="楷体"/>
        </w:rPr>
        <w:t>“技贸通”国际技术交易促进协作网络（以下简称“技贸通”平台）</w:t>
      </w:r>
    </w:p>
    <w:p>
      <w:pPr>
        <w:pStyle w:val="3"/>
        <w:spacing w:before="5"/>
        <w:ind w:left="0"/>
        <w:rPr>
          <w:rFonts w:ascii="楷体"/>
          <w:b/>
          <w:sz w:val="21"/>
        </w:rPr>
      </w:pPr>
    </w:p>
    <w:p>
      <w:pPr>
        <w:pStyle w:val="3"/>
        <w:spacing w:line="343" w:lineRule="auto"/>
        <w:ind w:left="120" w:right="137" w:firstLine="480"/>
      </w:pPr>
      <w:r>
        <w:t xml:space="preserve">是由中国国际科技交流中心联合国际技术转移协作网络（ITTN）合作共建， 旨在依托科协系统的组织优势和人才优势，用好民间科技交流合作渠道和机制， </w:t>
      </w:r>
      <w:r>
        <w:rPr>
          <w:spacing w:val="-27"/>
        </w:rPr>
        <w:t>找准“小切口”，谋划“新机制”，打造“云模式”，将促进创新资源、工作渠道、</w:t>
      </w:r>
      <w:r>
        <w:rPr>
          <w:spacing w:val="-16"/>
        </w:rPr>
        <w:t>业务模式、中介机构的国际化作为主线，面向地市、区县和各类园区的产业发展</w:t>
      </w:r>
      <w:r>
        <w:rPr>
          <w:spacing w:val="-12"/>
        </w:rPr>
        <w:t>需要，培训吸纳各地优秀的技术转移服务机构、国际技术转移经理人加入，构建国际技术交易服务“微循环”体系，推动国际技术贸易服务精准落地。</w:t>
      </w:r>
    </w:p>
    <w:p>
      <w:pPr>
        <w:pStyle w:val="3"/>
        <w:ind w:left="0"/>
      </w:pPr>
    </w:p>
    <w:p>
      <w:pPr>
        <w:pStyle w:val="3"/>
        <w:spacing w:before="4"/>
        <w:ind w:left="0"/>
        <w:rPr>
          <w:sz w:val="23"/>
        </w:rPr>
      </w:pPr>
    </w:p>
    <w:p>
      <w:pPr>
        <w:pStyle w:val="2"/>
        <w:ind w:left="120"/>
        <w:rPr>
          <w:rFonts w:hint="eastAsia" w:ascii="楷体" w:hAnsi="楷体" w:eastAsia="楷体"/>
        </w:rPr>
      </w:pPr>
      <w:r>
        <w:rPr>
          <w:rFonts w:hint="eastAsia" w:ascii="楷体" w:hAnsi="楷体" w:eastAsia="楷体"/>
          <w:w w:val="105"/>
        </w:rPr>
        <w:t>“技贸通”国际技术交易经理人（以下简称经理人）</w:t>
      </w:r>
    </w:p>
    <w:p>
      <w:pPr>
        <w:pStyle w:val="3"/>
        <w:spacing w:before="4"/>
        <w:ind w:left="0"/>
        <w:rPr>
          <w:rFonts w:ascii="楷体"/>
          <w:b/>
          <w:sz w:val="21"/>
        </w:rPr>
      </w:pPr>
    </w:p>
    <w:p>
      <w:pPr>
        <w:pStyle w:val="3"/>
        <w:spacing w:line="343" w:lineRule="auto"/>
        <w:ind w:left="120" w:right="259" w:firstLine="480"/>
        <w:jc w:val="both"/>
      </w:pPr>
      <w:r>
        <w:rPr>
          <w:spacing w:val="-11"/>
        </w:rPr>
        <w:t>是“技贸通”平台，衔接全球优质创新技术资源，提供国际技术贸易促进精准服务，促进国际技术交易合作与创新技术产业化落地的重要工作力量，将在科</w:t>
      </w:r>
      <w:r>
        <w:rPr>
          <w:spacing w:val="-20"/>
        </w:rPr>
        <w:t xml:space="preserve">协地方工作体系的支持下，与“技贸通”地方推广中心、驿站工作布局相互配合， </w:t>
      </w:r>
      <w:r>
        <w:rPr>
          <w:spacing w:val="-12"/>
        </w:rPr>
        <w:t>与覆盖市、区、县，延伸至高校、科研机构重点企业多层级国际技术交易需方密</w:t>
      </w:r>
      <w:r>
        <w:t>切合作，打通优质国际创新资源产业化落地最后一公里。</w:t>
      </w:r>
    </w:p>
    <w:p>
      <w:pPr>
        <w:pStyle w:val="3"/>
        <w:ind w:left="0"/>
      </w:pPr>
    </w:p>
    <w:p>
      <w:pPr>
        <w:pStyle w:val="3"/>
        <w:spacing w:before="6"/>
        <w:ind w:left="0"/>
        <w:rPr>
          <w:sz w:val="23"/>
        </w:rPr>
      </w:pPr>
    </w:p>
    <w:p>
      <w:pPr>
        <w:spacing w:before="0"/>
        <w:ind w:left="401" w:right="0" w:firstLine="0"/>
        <w:jc w:val="left"/>
        <w:rPr>
          <w:rFonts w:ascii="Arial" w:eastAsia="Arial"/>
          <w:b/>
          <w:sz w:val="28"/>
        </w:rPr>
      </w:pPr>
      <w:r>
        <w:rPr>
          <w:rFonts w:hint="eastAsia" w:ascii="楷体" w:eastAsia="楷体"/>
          <w:b/>
          <w:w w:val="105"/>
          <w:sz w:val="27"/>
        </w:rPr>
        <w:t xml:space="preserve">国际技术转移协作网络 </w:t>
      </w:r>
      <w:r>
        <w:rPr>
          <w:rFonts w:ascii="Arial" w:eastAsia="Arial"/>
          <w:b/>
          <w:w w:val="105"/>
          <w:sz w:val="28"/>
        </w:rPr>
        <w:t>ITTN</w:t>
      </w:r>
    </w:p>
    <w:p>
      <w:pPr>
        <w:pStyle w:val="3"/>
        <w:spacing w:before="270" w:line="343" w:lineRule="auto"/>
        <w:ind w:left="120" w:right="257" w:firstLine="480"/>
        <w:jc w:val="both"/>
      </w:pPr>
      <w:r>
        <w:t>是北京绿字博明科技发展有限公司运营的国际技术转移平台，2011</w:t>
      </w:r>
      <w:r>
        <w:rPr>
          <w:spacing w:val="-23"/>
        </w:rPr>
        <w:t xml:space="preserve"> 年 </w:t>
      </w:r>
      <w:r>
        <w:t>1</w:t>
      </w:r>
      <w:r>
        <w:rPr>
          <w:spacing w:val="-25"/>
        </w:rPr>
        <w:t xml:space="preserve"> 月</w:t>
      </w:r>
      <w:r>
        <w:t>在科技部指导下发起成立，2013 年，经北京市科学技术委员会委托由北京绿字博明科技发展有限公司作为运营机构承担平台建设发展工作，2014 年作为国际技术转移行业组织在境外正式注册成立法人主体。ITTN 将促进中国对外开展跨</w:t>
      </w:r>
      <w:r>
        <w:rPr>
          <w:spacing w:val="-7"/>
        </w:rPr>
        <w:t>境创新技术商业价值转化合作为使命，以全球视野、开放创新、价值整合为服务</w:t>
      </w:r>
      <w:r>
        <w:rPr>
          <w:spacing w:val="-11"/>
        </w:rPr>
        <w:t>定位，定位机构发展方向为国际技术转移第四方平台，在供应端组织海外创新技</w:t>
      </w:r>
    </w:p>
    <w:p>
      <w:pPr>
        <w:spacing w:after="0" w:line="343" w:lineRule="auto"/>
        <w:jc w:val="both"/>
        <w:sectPr>
          <w:footerReference r:id="rId3" w:type="default"/>
          <w:type w:val="continuous"/>
          <w:pgSz w:w="11900" w:h="16840"/>
          <w:pgMar w:top="1480" w:right="1540" w:bottom="1200" w:left="1680" w:header="720" w:footer="1005" w:gutter="0"/>
          <w:pgNumType w:start="1"/>
        </w:sectPr>
      </w:pPr>
    </w:p>
    <w:p>
      <w:pPr>
        <w:pStyle w:val="3"/>
        <w:spacing w:before="55" w:line="343" w:lineRule="auto"/>
        <w:ind w:left="120" w:right="258"/>
        <w:jc w:val="both"/>
      </w:pPr>
      <w:r>
        <w:rPr>
          <w:spacing w:val="-10"/>
        </w:rPr>
        <w:t>术项目、人才与机构资源渠道，在需求端发掘国内产业合作需求，居中积极促进</w:t>
      </w:r>
      <w:r>
        <w:rPr>
          <w:spacing w:val="-7"/>
        </w:rPr>
        <w:t>第三方中介机构专业化发展，整合跨境创新技术商业价值转化“价值链条”专业</w:t>
      </w:r>
      <w:r>
        <w:rPr>
          <w:spacing w:val="-9"/>
        </w:rPr>
        <w:t>服务机构能力，作为第四方发挥整合要素、组织资源、促进对接、培养引导第三</w:t>
      </w:r>
      <w:r>
        <w:t>方机构的作用。</w:t>
      </w:r>
    </w:p>
    <w:p>
      <w:pPr>
        <w:pStyle w:val="3"/>
        <w:ind w:left="0"/>
      </w:pPr>
    </w:p>
    <w:p>
      <w:pPr>
        <w:pStyle w:val="3"/>
        <w:spacing w:before="4"/>
        <w:ind w:left="0"/>
        <w:rPr>
          <w:sz w:val="23"/>
        </w:rPr>
      </w:pPr>
    </w:p>
    <w:p>
      <w:pPr>
        <w:pStyle w:val="2"/>
        <w:ind w:left="120"/>
        <w:rPr>
          <w:rFonts w:hint="eastAsia" w:ascii="楷体" w:hAnsi="楷体" w:eastAsia="楷体"/>
        </w:rPr>
      </w:pPr>
      <w:r>
        <w:rPr>
          <w:rFonts w:ascii="Arial" w:hAnsi="Arial" w:eastAsia="Arial"/>
          <w:w w:val="105"/>
          <w:sz w:val="28"/>
        </w:rPr>
        <w:t>“</w:t>
      </w:r>
      <w:r>
        <w:rPr>
          <w:rFonts w:hint="eastAsia" w:ascii="楷体" w:hAnsi="楷体" w:eastAsia="楷体"/>
          <w:w w:val="105"/>
        </w:rPr>
        <w:t>技贸通”国际技术交易经理人合作模式</w:t>
      </w:r>
    </w:p>
    <w:p>
      <w:pPr>
        <w:pStyle w:val="3"/>
        <w:spacing w:before="270" w:line="343" w:lineRule="auto"/>
        <w:ind w:left="120" w:right="139" w:firstLine="480"/>
      </w:pPr>
      <w:r>
        <w:rPr>
          <w:spacing w:val="-15"/>
        </w:rPr>
        <w:t>“技贸通”平台由中国国际科技交流中心联合国际技术转移协作网络</w:t>
      </w:r>
      <w:r>
        <w:rPr>
          <w:spacing w:val="-4"/>
        </w:rPr>
        <w:t xml:space="preserve">（ITTN） </w:t>
      </w:r>
      <w:r>
        <w:rPr>
          <w:spacing w:val="-15"/>
        </w:rPr>
        <w:t xml:space="preserve">合作共建，北京绿字博明科技发展有限公司作为“国际技术转移协作网络 </w:t>
      </w:r>
      <w:r>
        <w:t xml:space="preserve">ITTN” </w:t>
      </w:r>
      <w:r>
        <w:rPr>
          <w:spacing w:val="-8"/>
        </w:rPr>
        <w:t>的市场化经营主体，代表“技贸通”平台面向国内、国内以及国际技术交易促进</w:t>
      </w:r>
      <w:r>
        <w:rPr>
          <w:spacing w:val="-22"/>
        </w:rPr>
        <w:t xml:space="preserve">相关供应端、需求端、第三方机构以及经理人，以市场化合作机制拓展业务合作， </w:t>
      </w:r>
      <w:r>
        <w:rPr>
          <w:spacing w:val="-13"/>
        </w:rPr>
        <w:t>通过发布、征集、申报、审评、签约、双选的工作流程，由“技贸通”平台与经理人作为共同一方，面向国际技术交易合作供应端项目</w:t>
      </w:r>
      <w:r>
        <w:t>（</w:t>
      </w:r>
      <w:r>
        <w:rPr>
          <w:spacing w:val="-5"/>
        </w:rPr>
        <w:t>包括创新技术、创业公司、专家团队、知识产权等多种，以下简称供应端项目）构建合作模式。</w:t>
      </w:r>
    </w:p>
    <w:p>
      <w:pPr>
        <w:pStyle w:val="3"/>
        <w:spacing w:before="2"/>
        <w:ind w:left="0"/>
      </w:pPr>
    </w:p>
    <w:p>
      <w:pPr>
        <w:pStyle w:val="2"/>
        <w:spacing w:before="1" w:line="432" w:lineRule="auto"/>
        <w:ind w:left="120" w:right="257"/>
      </w:pPr>
      <w:r>
        <w:rPr>
          <w:spacing w:val="-13"/>
        </w:rPr>
        <w:t xml:space="preserve">平台将负责通过“双选”机制，落实经理人与具体供应端项目达成合 </w:t>
      </w:r>
      <w:r>
        <w:rPr>
          <w:spacing w:val="-13"/>
          <w:w w:val="105"/>
        </w:rPr>
        <w:t>作意向：</w:t>
      </w:r>
    </w:p>
    <w:p>
      <w:pPr>
        <w:pStyle w:val="7"/>
        <w:numPr>
          <w:ilvl w:val="0"/>
          <w:numId w:val="1"/>
        </w:numPr>
        <w:tabs>
          <w:tab w:val="left" w:pos="545"/>
        </w:tabs>
        <w:spacing w:before="147" w:after="0" w:line="343" w:lineRule="auto"/>
        <w:ind w:left="545" w:right="259" w:hanging="425"/>
        <w:jc w:val="both"/>
        <w:rPr>
          <w:sz w:val="24"/>
        </w:rPr>
      </w:pPr>
      <w:r>
        <w:rPr>
          <w:spacing w:val="-7"/>
          <w:sz w:val="24"/>
        </w:rPr>
        <w:t>“技贸通”平台收集经理人信息，编制经理人介绍，收录至“技贸通”平台经理人信息库，并在“技贸通”网站及其他相关对外宣传之中公布经理人信</w:t>
      </w:r>
      <w:r>
        <w:rPr>
          <w:sz w:val="24"/>
        </w:rPr>
        <w:t>息。</w:t>
      </w:r>
    </w:p>
    <w:p>
      <w:pPr>
        <w:pStyle w:val="7"/>
        <w:numPr>
          <w:ilvl w:val="0"/>
          <w:numId w:val="1"/>
        </w:numPr>
        <w:tabs>
          <w:tab w:val="left" w:pos="545"/>
        </w:tabs>
        <w:spacing w:before="0" w:after="0" w:line="343" w:lineRule="auto"/>
        <w:ind w:left="545" w:right="259" w:hanging="425"/>
        <w:jc w:val="both"/>
        <w:rPr>
          <w:sz w:val="24"/>
        </w:rPr>
      </w:pPr>
      <w:r>
        <w:rPr>
          <w:spacing w:val="-6"/>
          <w:sz w:val="24"/>
        </w:rPr>
        <w:t>“技贸通”平台将依托线上、线下交流活动以及针对性对接组织，分别为经</w:t>
      </w:r>
      <w:r>
        <w:rPr>
          <w:spacing w:val="-4"/>
          <w:sz w:val="24"/>
        </w:rPr>
        <w:t>理人推荐适合供应端项目，以及为供应端项目推荐适合经理人，经理人与供</w:t>
      </w:r>
      <w:r>
        <w:rPr>
          <w:spacing w:val="-6"/>
          <w:sz w:val="24"/>
        </w:rPr>
        <w:t>应端项目同时可以根据“技贸通”信息发布，主动提出合作意向，平台将负</w:t>
      </w:r>
      <w:r>
        <w:rPr>
          <w:spacing w:val="-4"/>
          <w:sz w:val="24"/>
        </w:rPr>
        <w:t>责衔接经理人与供应端项目自主选择意向，落实双方达成一致意见，推动形</w:t>
      </w:r>
      <w:r>
        <w:rPr>
          <w:sz w:val="24"/>
        </w:rPr>
        <w:t>成以上第一条第二款合作。</w:t>
      </w:r>
    </w:p>
    <w:p>
      <w:pPr>
        <w:pStyle w:val="7"/>
        <w:numPr>
          <w:ilvl w:val="0"/>
          <w:numId w:val="1"/>
        </w:numPr>
        <w:tabs>
          <w:tab w:val="left" w:pos="545"/>
        </w:tabs>
        <w:spacing w:before="0" w:after="0" w:line="345" w:lineRule="auto"/>
        <w:ind w:left="545" w:right="259" w:hanging="425"/>
        <w:jc w:val="both"/>
        <w:rPr>
          <w:sz w:val="24"/>
        </w:rPr>
      </w:pPr>
      <w:r>
        <w:rPr>
          <w:spacing w:val="-18"/>
          <w:sz w:val="24"/>
        </w:rPr>
        <w:t xml:space="preserve">平台将负责通过“双选”机制，落实经理人与具体供应端项目达成合作意向， </w:t>
      </w:r>
      <w:r>
        <w:rPr>
          <w:sz w:val="24"/>
        </w:rPr>
        <w:t>签署协议书及共同确认工作计划。</w:t>
      </w:r>
    </w:p>
    <w:p>
      <w:pPr>
        <w:spacing w:before="84"/>
        <w:ind w:left="120" w:right="0" w:firstLine="0"/>
        <w:jc w:val="left"/>
        <w:rPr>
          <w:rFonts w:hint="eastAsia" w:ascii="楷体" w:hAnsi="楷体" w:eastAsia="楷体"/>
          <w:b/>
          <w:sz w:val="27"/>
        </w:rPr>
      </w:pPr>
      <w:r>
        <w:rPr>
          <w:rFonts w:hint="eastAsia" w:ascii="楷体" w:hAnsi="楷体" w:eastAsia="楷体"/>
          <w:b/>
          <w:w w:val="105"/>
          <w:sz w:val="27"/>
        </w:rPr>
        <w:t>“技贸通”与经理人</w:t>
      </w:r>
      <w:r>
        <w:rPr>
          <w:rFonts w:hint="eastAsia" w:ascii="黑体" w:hAnsi="黑体" w:eastAsia="黑体"/>
          <w:b/>
          <w:w w:val="105"/>
          <w:sz w:val="39"/>
        </w:rPr>
        <w:t>“平台 + ”</w:t>
      </w:r>
      <w:r>
        <w:rPr>
          <w:rFonts w:hint="eastAsia" w:ascii="楷体" w:hAnsi="楷体" w:eastAsia="楷体"/>
          <w:b/>
          <w:w w:val="105"/>
          <w:sz w:val="27"/>
        </w:rPr>
        <w:t>国际技术贸易促进服务包</w:t>
      </w:r>
    </w:p>
    <w:p>
      <w:pPr>
        <w:pStyle w:val="3"/>
        <w:spacing w:before="196" w:line="340" w:lineRule="auto"/>
        <w:ind w:left="120" w:right="257" w:firstLine="480"/>
      </w:pPr>
      <w:r>
        <w:rPr>
          <w:spacing w:val="-11"/>
        </w:rPr>
        <w:t>为加速“技贸通”平台建设，针对重点项目，迅速形成供方、需方与第三方</w:t>
      </w:r>
      <w:r>
        <w:rPr>
          <w:spacing w:val="-10"/>
        </w:rPr>
        <w:t>中介协调工作的“微系统”，助力建适应经济科技全球化的国际技术贸易服务体</w:t>
      </w:r>
    </w:p>
    <w:p>
      <w:pPr>
        <w:spacing w:after="0" w:line="340" w:lineRule="auto"/>
        <w:sectPr>
          <w:pgSz w:w="11900" w:h="16840"/>
          <w:pgMar w:top="1500" w:right="1540" w:bottom="1200" w:left="1680" w:header="0" w:footer="1005" w:gutter="0"/>
        </w:sectPr>
      </w:pPr>
    </w:p>
    <w:p>
      <w:pPr>
        <w:pStyle w:val="3"/>
        <w:spacing w:before="55" w:line="343" w:lineRule="auto"/>
        <w:ind w:left="120" w:right="257"/>
        <w:jc w:val="both"/>
      </w:pPr>
      <w:r>
        <w:rPr>
          <w:spacing w:val="-12"/>
        </w:rPr>
        <w:t>系，“技贸通”平台，聘任“技贸通”国际技术交易经理人，共同合作，以“技</w:t>
      </w:r>
      <w:r>
        <w:rPr>
          <w:spacing w:val="-13"/>
        </w:rPr>
        <w:t>贸通”为平台，面向平台衔接的国际、国内产业创新技术项目，提供国际技术交</w:t>
      </w:r>
      <w:r>
        <w:t>易合作与创新技术产业化合作咨询以及促进服务。</w:t>
      </w:r>
    </w:p>
    <w:p>
      <w:pPr>
        <w:pStyle w:val="3"/>
        <w:spacing w:before="1" w:line="343" w:lineRule="auto"/>
        <w:ind w:left="120" w:right="257" w:firstLine="480"/>
        <w:jc w:val="both"/>
      </w:pPr>
      <w:r>
        <w:rPr>
          <w:spacing w:val="-11"/>
        </w:rPr>
        <w:t>经理人将作为“技贸通”平台代表，与平台密切配合，面向国际技术交易合</w:t>
      </w:r>
      <w:r>
        <w:rPr>
          <w:spacing w:val="-4"/>
        </w:rPr>
        <w:t>作供应端项目</w:t>
      </w:r>
      <w:r>
        <w:t>（</w:t>
      </w:r>
      <w:r>
        <w:rPr>
          <w:spacing w:val="-8"/>
        </w:rPr>
        <w:t>包括创新技术、创业公司、专家团队、知识产权等多种，以下简</w:t>
      </w:r>
      <w:r>
        <w:t>称供应端项目）提供国际技术交易促进经理人服务。</w:t>
      </w:r>
    </w:p>
    <w:p>
      <w:pPr>
        <w:pStyle w:val="3"/>
        <w:spacing w:before="1"/>
        <w:ind w:left="600"/>
      </w:pPr>
      <w:r>
        <w:t>重点服务内容包括：</w:t>
      </w:r>
    </w:p>
    <w:p>
      <w:pPr>
        <w:pStyle w:val="3"/>
        <w:spacing w:before="5"/>
        <w:ind w:left="0"/>
        <w:rPr>
          <w:sz w:val="34"/>
        </w:rPr>
      </w:pPr>
    </w:p>
    <w:p>
      <w:pPr>
        <w:pStyle w:val="2"/>
      </w:pPr>
      <w:r>
        <w:rPr>
          <w:w w:val="105"/>
        </w:rPr>
        <w:t>策划咨询</w:t>
      </w:r>
    </w:p>
    <w:p>
      <w:pPr>
        <w:pStyle w:val="3"/>
        <w:spacing w:before="7"/>
        <w:ind w:left="0"/>
        <w:rPr>
          <w:rFonts w:ascii="仿宋"/>
          <w:b/>
          <w:sz w:val="32"/>
        </w:rPr>
      </w:pPr>
    </w:p>
    <w:p>
      <w:pPr>
        <w:pStyle w:val="7"/>
        <w:numPr>
          <w:ilvl w:val="1"/>
          <w:numId w:val="1"/>
        </w:numPr>
        <w:tabs>
          <w:tab w:val="left" w:pos="1379"/>
          <w:tab w:val="left" w:pos="1380"/>
        </w:tabs>
        <w:spacing w:before="0" w:after="0" w:line="240" w:lineRule="auto"/>
        <w:ind w:left="1380" w:right="0" w:hanging="621"/>
        <w:jc w:val="left"/>
        <w:rPr>
          <w:sz w:val="24"/>
        </w:rPr>
      </w:pPr>
      <w:r>
        <w:rPr>
          <w:sz w:val="24"/>
        </w:rPr>
        <w:t>目标市场国际技术交易合作战略咨询；</w:t>
      </w:r>
    </w:p>
    <w:p>
      <w:pPr>
        <w:pStyle w:val="7"/>
        <w:numPr>
          <w:ilvl w:val="1"/>
          <w:numId w:val="1"/>
        </w:numPr>
        <w:tabs>
          <w:tab w:val="left" w:pos="1379"/>
          <w:tab w:val="left" w:pos="1380"/>
        </w:tabs>
        <w:spacing w:before="135" w:after="0" w:line="240" w:lineRule="auto"/>
        <w:ind w:left="1380" w:right="0" w:hanging="621"/>
        <w:jc w:val="left"/>
        <w:rPr>
          <w:sz w:val="24"/>
        </w:rPr>
      </w:pPr>
      <w:r>
        <w:rPr>
          <w:sz w:val="24"/>
        </w:rPr>
        <w:t>目标市场国际技术交易可行性与合作模式咨询；</w:t>
      </w:r>
    </w:p>
    <w:p>
      <w:pPr>
        <w:pStyle w:val="7"/>
        <w:numPr>
          <w:ilvl w:val="1"/>
          <w:numId w:val="1"/>
        </w:numPr>
        <w:tabs>
          <w:tab w:val="left" w:pos="1379"/>
          <w:tab w:val="left" w:pos="1380"/>
        </w:tabs>
        <w:spacing w:before="129" w:after="0" w:line="240" w:lineRule="auto"/>
        <w:ind w:left="1380" w:right="0" w:hanging="621"/>
        <w:jc w:val="left"/>
        <w:rPr>
          <w:sz w:val="24"/>
        </w:rPr>
      </w:pPr>
      <w:r>
        <w:rPr>
          <w:sz w:val="24"/>
        </w:rPr>
        <w:t>目标市场区域发展战略分析（形成区域、地域发展战略聚焦</w:t>
      </w:r>
      <w:r>
        <w:rPr>
          <w:spacing w:val="-120"/>
          <w:sz w:val="24"/>
        </w:rPr>
        <w:t>）</w:t>
      </w:r>
      <w:r>
        <w:rPr>
          <w:sz w:val="24"/>
        </w:rPr>
        <w:t>；</w:t>
      </w:r>
    </w:p>
    <w:p>
      <w:pPr>
        <w:pStyle w:val="7"/>
        <w:numPr>
          <w:ilvl w:val="1"/>
          <w:numId w:val="1"/>
        </w:numPr>
        <w:tabs>
          <w:tab w:val="left" w:pos="1379"/>
          <w:tab w:val="left" w:pos="1380"/>
        </w:tabs>
        <w:spacing w:before="134" w:after="0" w:line="240" w:lineRule="auto"/>
        <w:ind w:left="1380" w:right="0" w:hanging="621"/>
        <w:jc w:val="left"/>
        <w:rPr>
          <w:sz w:val="24"/>
        </w:rPr>
      </w:pPr>
      <w:r>
        <w:rPr>
          <w:sz w:val="24"/>
        </w:rPr>
        <w:t>目标市场国际技术交易合作（各种合作模式）商业计划书咨询；</w:t>
      </w:r>
    </w:p>
    <w:p>
      <w:pPr>
        <w:pStyle w:val="7"/>
        <w:numPr>
          <w:ilvl w:val="1"/>
          <w:numId w:val="1"/>
        </w:numPr>
        <w:tabs>
          <w:tab w:val="left" w:pos="1379"/>
          <w:tab w:val="left" w:pos="1380"/>
        </w:tabs>
        <w:spacing w:before="134" w:after="0" w:line="240" w:lineRule="auto"/>
        <w:ind w:left="1380" w:right="0" w:hanging="621"/>
        <w:jc w:val="left"/>
        <w:rPr>
          <w:sz w:val="24"/>
        </w:rPr>
      </w:pPr>
      <w:r>
        <w:rPr>
          <w:sz w:val="24"/>
        </w:rPr>
        <w:t>目标市场知识产权与技术发展战略咨询（二次开发、技术路径）</w:t>
      </w:r>
    </w:p>
    <w:p>
      <w:pPr>
        <w:pStyle w:val="7"/>
        <w:numPr>
          <w:ilvl w:val="1"/>
          <w:numId w:val="1"/>
        </w:numPr>
        <w:tabs>
          <w:tab w:val="left" w:pos="1379"/>
          <w:tab w:val="left" w:pos="1380"/>
        </w:tabs>
        <w:spacing w:before="129" w:after="0" w:line="240" w:lineRule="auto"/>
        <w:ind w:left="1380" w:right="0" w:hanging="621"/>
        <w:jc w:val="left"/>
        <w:rPr>
          <w:sz w:val="24"/>
        </w:rPr>
      </w:pPr>
      <w:r>
        <w:rPr>
          <w:sz w:val="24"/>
        </w:rPr>
        <w:t>市场咨询</w:t>
      </w:r>
    </w:p>
    <w:p>
      <w:pPr>
        <w:pStyle w:val="7"/>
        <w:numPr>
          <w:ilvl w:val="1"/>
          <w:numId w:val="1"/>
        </w:numPr>
        <w:tabs>
          <w:tab w:val="left" w:pos="1379"/>
          <w:tab w:val="left" w:pos="1380"/>
        </w:tabs>
        <w:spacing w:before="134" w:after="0" w:line="240" w:lineRule="auto"/>
        <w:ind w:left="1380" w:right="0" w:hanging="621"/>
        <w:jc w:val="left"/>
        <w:rPr>
          <w:sz w:val="24"/>
        </w:rPr>
      </w:pPr>
      <w:r>
        <w:rPr>
          <w:sz w:val="24"/>
        </w:rPr>
        <w:t>相关创新技术领域行业分市场分析咨询；</w:t>
      </w:r>
    </w:p>
    <w:p>
      <w:pPr>
        <w:pStyle w:val="7"/>
        <w:numPr>
          <w:ilvl w:val="1"/>
          <w:numId w:val="1"/>
        </w:numPr>
        <w:tabs>
          <w:tab w:val="left" w:pos="1379"/>
          <w:tab w:val="left" w:pos="1380"/>
        </w:tabs>
        <w:spacing w:before="135" w:after="0" w:line="240" w:lineRule="auto"/>
        <w:ind w:left="1380" w:right="0" w:hanging="621"/>
        <w:jc w:val="left"/>
        <w:rPr>
          <w:sz w:val="24"/>
        </w:rPr>
      </w:pPr>
      <w:r>
        <w:rPr>
          <w:sz w:val="24"/>
        </w:rPr>
        <w:t>目标市场竞争力分析咨询；</w:t>
      </w:r>
    </w:p>
    <w:p>
      <w:pPr>
        <w:pStyle w:val="7"/>
        <w:numPr>
          <w:ilvl w:val="1"/>
          <w:numId w:val="1"/>
        </w:numPr>
        <w:tabs>
          <w:tab w:val="left" w:pos="1379"/>
          <w:tab w:val="left" w:pos="1380"/>
        </w:tabs>
        <w:spacing w:before="129" w:after="0" w:line="240" w:lineRule="auto"/>
        <w:ind w:left="1380" w:right="0" w:hanging="621"/>
        <w:jc w:val="left"/>
        <w:rPr>
          <w:sz w:val="24"/>
        </w:rPr>
      </w:pPr>
      <w:r>
        <w:rPr>
          <w:sz w:val="24"/>
        </w:rPr>
        <w:t>国际市场竞争力分析咨询；</w:t>
      </w:r>
    </w:p>
    <w:p>
      <w:pPr>
        <w:pStyle w:val="7"/>
        <w:numPr>
          <w:ilvl w:val="1"/>
          <w:numId w:val="1"/>
        </w:numPr>
        <w:tabs>
          <w:tab w:val="left" w:pos="1379"/>
          <w:tab w:val="left" w:pos="1380"/>
        </w:tabs>
        <w:spacing w:before="134" w:after="0" w:line="240" w:lineRule="auto"/>
        <w:ind w:left="1380" w:right="0" w:hanging="621"/>
        <w:jc w:val="left"/>
        <w:rPr>
          <w:sz w:val="24"/>
        </w:rPr>
      </w:pPr>
      <w:r>
        <w:rPr>
          <w:sz w:val="24"/>
        </w:rPr>
        <w:t>目标市场需方目标客户分析咨询；</w:t>
      </w:r>
    </w:p>
    <w:p>
      <w:pPr>
        <w:pStyle w:val="3"/>
        <w:spacing w:before="5"/>
        <w:ind w:left="0"/>
        <w:rPr>
          <w:sz w:val="34"/>
        </w:rPr>
      </w:pPr>
    </w:p>
    <w:p>
      <w:pPr>
        <w:pStyle w:val="2"/>
      </w:pPr>
      <w:r>
        <w:rPr>
          <w:w w:val="105"/>
        </w:rPr>
        <w:t>政策咨询</w:t>
      </w:r>
    </w:p>
    <w:p>
      <w:pPr>
        <w:pStyle w:val="3"/>
        <w:spacing w:before="8"/>
        <w:ind w:left="0"/>
        <w:rPr>
          <w:rFonts w:ascii="仿宋"/>
          <w:b/>
          <w:sz w:val="32"/>
        </w:rPr>
      </w:pPr>
    </w:p>
    <w:p>
      <w:pPr>
        <w:pStyle w:val="7"/>
        <w:numPr>
          <w:ilvl w:val="1"/>
          <w:numId w:val="1"/>
        </w:numPr>
        <w:tabs>
          <w:tab w:val="left" w:pos="1379"/>
          <w:tab w:val="left" w:pos="1380"/>
        </w:tabs>
        <w:spacing w:before="0" w:after="0" w:line="240" w:lineRule="auto"/>
        <w:ind w:left="1380" w:right="0" w:hanging="621"/>
        <w:jc w:val="left"/>
        <w:rPr>
          <w:sz w:val="24"/>
        </w:rPr>
      </w:pPr>
      <w:r>
        <w:rPr>
          <w:sz w:val="24"/>
        </w:rPr>
        <w:t>国际合作趋势与产业政策综合分析；</w:t>
      </w:r>
    </w:p>
    <w:p>
      <w:pPr>
        <w:pStyle w:val="7"/>
        <w:numPr>
          <w:ilvl w:val="1"/>
          <w:numId w:val="1"/>
        </w:numPr>
        <w:tabs>
          <w:tab w:val="left" w:pos="1379"/>
          <w:tab w:val="left" w:pos="1380"/>
        </w:tabs>
        <w:spacing w:before="134" w:after="0" w:line="345" w:lineRule="auto"/>
        <w:ind w:left="1380" w:right="258" w:hanging="620"/>
        <w:jc w:val="left"/>
        <w:rPr>
          <w:sz w:val="24"/>
        </w:rPr>
      </w:pPr>
      <w:r>
        <w:rPr>
          <w:spacing w:val="-3"/>
          <w:sz w:val="24"/>
        </w:rPr>
        <w:t>目标市场可利用政策扶持资源梳理分析</w:t>
      </w:r>
      <w:r>
        <w:rPr>
          <w:sz w:val="24"/>
        </w:rPr>
        <w:t>（</w:t>
      </w:r>
      <w:r>
        <w:rPr>
          <w:spacing w:val="-15"/>
          <w:sz w:val="24"/>
        </w:rPr>
        <w:t>人才、交流、研发、产业化</w:t>
      </w:r>
      <w:r>
        <w:rPr>
          <w:sz w:val="24"/>
        </w:rPr>
        <w:t>等）</w:t>
      </w:r>
    </w:p>
    <w:p>
      <w:pPr>
        <w:pStyle w:val="7"/>
        <w:numPr>
          <w:ilvl w:val="1"/>
          <w:numId w:val="1"/>
        </w:numPr>
        <w:tabs>
          <w:tab w:val="left" w:pos="1379"/>
          <w:tab w:val="left" w:pos="1380"/>
        </w:tabs>
        <w:spacing w:before="0" w:after="0" w:line="300" w:lineRule="exact"/>
        <w:ind w:left="1380" w:right="0" w:hanging="621"/>
        <w:jc w:val="left"/>
        <w:rPr>
          <w:sz w:val="24"/>
        </w:rPr>
      </w:pPr>
      <w:r>
        <w:rPr>
          <w:sz w:val="24"/>
        </w:rPr>
        <w:t>扶持政策专题、专项申报咨询与服务；</w:t>
      </w:r>
    </w:p>
    <w:p>
      <w:pPr>
        <w:pStyle w:val="7"/>
        <w:numPr>
          <w:ilvl w:val="1"/>
          <w:numId w:val="1"/>
        </w:numPr>
        <w:tabs>
          <w:tab w:val="left" w:pos="1379"/>
          <w:tab w:val="left" w:pos="1380"/>
        </w:tabs>
        <w:spacing w:before="134" w:after="0" w:line="240" w:lineRule="auto"/>
        <w:ind w:left="1380" w:right="0" w:hanging="621"/>
        <w:jc w:val="left"/>
        <w:rPr>
          <w:sz w:val="24"/>
        </w:rPr>
      </w:pPr>
      <w:r>
        <w:rPr>
          <w:sz w:val="24"/>
        </w:rPr>
        <w:t>业务拓展</w:t>
      </w:r>
    </w:p>
    <w:p>
      <w:pPr>
        <w:pStyle w:val="7"/>
        <w:numPr>
          <w:ilvl w:val="1"/>
          <w:numId w:val="1"/>
        </w:numPr>
        <w:tabs>
          <w:tab w:val="left" w:pos="1379"/>
          <w:tab w:val="left" w:pos="1380"/>
        </w:tabs>
        <w:spacing w:before="134" w:after="0" w:line="340" w:lineRule="auto"/>
        <w:ind w:left="1380" w:right="257" w:hanging="620"/>
        <w:jc w:val="left"/>
        <w:rPr>
          <w:sz w:val="24"/>
        </w:rPr>
      </w:pPr>
      <w:r>
        <w:rPr>
          <w:spacing w:val="-13"/>
          <w:sz w:val="24"/>
        </w:rPr>
        <w:t>合作交流促进：包括但不限于推荐参加平台组织或推荐的线上、线下</w:t>
      </w:r>
      <w:r>
        <w:rPr>
          <w:sz w:val="24"/>
        </w:rPr>
        <w:t>比赛、路演、会议以及定向交流合作对接；</w:t>
      </w:r>
    </w:p>
    <w:p>
      <w:pPr>
        <w:pStyle w:val="7"/>
        <w:numPr>
          <w:ilvl w:val="1"/>
          <w:numId w:val="1"/>
        </w:numPr>
        <w:tabs>
          <w:tab w:val="left" w:pos="1379"/>
          <w:tab w:val="left" w:pos="1380"/>
        </w:tabs>
        <w:spacing w:before="5" w:after="0" w:line="240" w:lineRule="auto"/>
        <w:ind w:left="1380" w:right="0" w:hanging="621"/>
        <w:jc w:val="left"/>
        <w:rPr>
          <w:sz w:val="24"/>
        </w:rPr>
      </w:pPr>
      <w:r>
        <w:rPr>
          <w:sz w:val="24"/>
        </w:rPr>
        <w:t>目标客户（可行合作模式潜在合作伙伴）推荐；</w:t>
      </w:r>
    </w:p>
    <w:p>
      <w:pPr>
        <w:pStyle w:val="7"/>
        <w:numPr>
          <w:ilvl w:val="1"/>
          <w:numId w:val="1"/>
        </w:numPr>
        <w:tabs>
          <w:tab w:val="left" w:pos="1379"/>
          <w:tab w:val="left" w:pos="1380"/>
        </w:tabs>
        <w:spacing w:before="134" w:after="0" w:line="240" w:lineRule="auto"/>
        <w:ind w:left="1380" w:right="0" w:hanging="621"/>
        <w:jc w:val="left"/>
        <w:rPr>
          <w:sz w:val="24"/>
        </w:rPr>
      </w:pPr>
      <w:r>
        <w:rPr>
          <w:sz w:val="24"/>
        </w:rPr>
        <w:t>需求反馈收集与甄别（意向合作伙伴背景调查</w:t>
      </w:r>
      <w:r>
        <w:rPr>
          <w:spacing w:val="-120"/>
          <w:sz w:val="24"/>
        </w:rPr>
        <w:t>）</w:t>
      </w:r>
      <w:r>
        <w:rPr>
          <w:sz w:val="24"/>
        </w:rPr>
        <w:t>；</w:t>
      </w:r>
    </w:p>
    <w:p>
      <w:pPr>
        <w:spacing w:after="0" w:line="240" w:lineRule="auto"/>
        <w:jc w:val="left"/>
        <w:rPr>
          <w:sz w:val="24"/>
        </w:rPr>
        <w:sectPr>
          <w:pgSz w:w="11900" w:h="16840"/>
          <w:pgMar w:top="1500" w:right="1540" w:bottom="1200" w:left="1680" w:header="0" w:footer="1005" w:gutter="0"/>
        </w:sectPr>
      </w:pPr>
    </w:p>
    <w:p>
      <w:pPr>
        <w:pStyle w:val="7"/>
        <w:numPr>
          <w:ilvl w:val="1"/>
          <w:numId w:val="1"/>
        </w:numPr>
        <w:tabs>
          <w:tab w:val="left" w:pos="1379"/>
          <w:tab w:val="left" w:pos="1380"/>
        </w:tabs>
        <w:spacing w:before="55" w:after="0" w:line="240" w:lineRule="auto"/>
        <w:ind w:left="1380" w:right="0" w:hanging="621"/>
        <w:jc w:val="left"/>
        <w:rPr>
          <w:sz w:val="24"/>
        </w:rPr>
      </w:pPr>
      <w:r>
        <w:rPr>
          <w:sz w:val="24"/>
        </w:rPr>
        <w:t>交易促进</w:t>
      </w:r>
    </w:p>
    <w:p>
      <w:pPr>
        <w:pStyle w:val="7"/>
        <w:numPr>
          <w:ilvl w:val="1"/>
          <w:numId w:val="1"/>
        </w:numPr>
        <w:tabs>
          <w:tab w:val="left" w:pos="1379"/>
          <w:tab w:val="left" w:pos="1380"/>
        </w:tabs>
        <w:spacing w:before="129" w:after="0" w:line="240" w:lineRule="auto"/>
        <w:ind w:left="1380" w:right="0" w:hanging="621"/>
        <w:jc w:val="left"/>
        <w:rPr>
          <w:sz w:val="24"/>
        </w:rPr>
      </w:pPr>
      <w:r>
        <w:rPr>
          <w:sz w:val="24"/>
        </w:rPr>
        <w:t>目标客户合作意向衔接；</w:t>
      </w:r>
    </w:p>
    <w:p>
      <w:pPr>
        <w:pStyle w:val="7"/>
        <w:numPr>
          <w:ilvl w:val="1"/>
          <w:numId w:val="1"/>
        </w:numPr>
        <w:tabs>
          <w:tab w:val="left" w:pos="1379"/>
          <w:tab w:val="left" w:pos="1380"/>
        </w:tabs>
        <w:spacing w:before="134" w:after="0" w:line="240" w:lineRule="auto"/>
        <w:ind w:left="1380" w:right="0" w:hanging="621"/>
        <w:jc w:val="left"/>
        <w:rPr>
          <w:sz w:val="24"/>
        </w:rPr>
      </w:pPr>
      <w:r>
        <w:rPr>
          <w:sz w:val="24"/>
        </w:rPr>
        <w:t>目标客户合作洽谈跟踪；</w:t>
      </w:r>
    </w:p>
    <w:p>
      <w:pPr>
        <w:pStyle w:val="3"/>
        <w:spacing w:before="5"/>
        <w:ind w:left="0"/>
        <w:rPr>
          <w:sz w:val="34"/>
        </w:rPr>
      </w:pPr>
    </w:p>
    <w:p>
      <w:pPr>
        <w:pStyle w:val="2"/>
        <w:spacing w:before="1"/>
      </w:pPr>
      <w:r>
        <w:rPr>
          <w:w w:val="105"/>
        </w:rPr>
        <w:t>重要风险提示；</w:t>
      </w:r>
    </w:p>
    <w:p>
      <w:pPr>
        <w:pStyle w:val="3"/>
        <w:spacing w:before="7"/>
        <w:ind w:left="0"/>
        <w:rPr>
          <w:rFonts w:ascii="仿宋"/>
          <w:b/>
          <w:sz w:val="32"/>
        </w:rPr>
      </w:pPr>
    </w:p>
    <w:p>
      <w:pPr>
        <w:pStyle w:val="7"/>
        <w:numPr>
          <w:ilvl w:val="1"/>
          <w:numId w:val="1"/>
        </w:numPr>
        <w:tabs>
          <w:tab w:val="left" w:pos="1379"/>
          <w:tab w:val="left" w:pos="1380"/>
        </w:tabs>
        <w:spacing w:before="0" w:after="0" w:line="240" w:lineRule="auto"/>
        <w:ind w:left="1380" w:right="0" w:hanging="621"/>
        <w:jc w:val="left"/>
        <w:rPr>
          <w:sz w:val="24"/>
        </w:rPr>
      </w:pPr>
      <w:r>
        <w:rPr>
          <w:sz w:val="24"/>
        </w:rPr>
        <w:t>合作进程推进计划制定协助；</w:t>
      </w:r>
    </w:p>
    <w:p>
      <w:pPr>
        <w:pStyle w:val="7"/>
        <w:numPr>
          <w:ilvl w:val="1"/>
          <w:numId w:val="1"/>
        </w:numPr>
        <w:tabs>
          <w:tab w:val="left" w:pos="1379"/>
          <w:tab w:val="left" w:pos="1380"/>
        </w:tabs>
        <w:spacing w:before="134" w:after="0" w:line="240" w:lineRule="auto"/>
        <w:ind w:left="1380" w:right="0" w:hanging="621"/>
        <w:jc w:val="left"/>
        <w:rPr>
          <w:sz w:val="24"/>
        </w:rPr>
      </w:pPr>
      <w:r>
        <w:rPr>
          <w:sz w:val="24"/>
        </w:rPr>
        <w:t>推动合作进程（进程节奏把握、重要里程牌目标推动等等）</w:t>
      </w:r>
    </w:p>
    <w:p>
      <w:pPr>
        <w:pStyle w:val="7"/>
        <w:numPr>
          <w:ilvl w:val="1"/>
          <w:numId w:val="1"/>
        </w:numPr>
        <w:tabs>
          <w:tab w:val="left" w:pos="1379"/>
          <w:tab w:val="left" w:pos="1380"/>
        </w:tabs>
        <w:spacing w:before="134" w:after="0" w:line="240" w:lineRule="auto"/>
        <w:ind w:left="1380" w:right="0" w:hanging="621"/>
        <w:jc w:val="left"/>
        <w:rPr>
          <w:sz w:val="24"/>
        </w:rPr>
      </w:pPr>
      <w:r>
        <w:rPr>
          <w:sz w:val="24"/>
        </w:rPr>
        <w:t>谈判与议价协调；</w:t>
      </w:r>
    </w:p>
    <w:p>
      <w:pPr>
        <w:pStyle w:val="3"/>
        <w:spacing w:before="6"/>
        <w:ind w:left="0"/>
        <w:rPr>
          <w:sz w:val="34"/>
        </w:rPr>
      </w:pPr>
    </w:p>
    <w:p>
      <w:pPr>
        <w:pStyle w:val="2"/>
      </w:pPr>
      <w:r>
        <w:t>关键问题协助</w:t>
      </w:r>
    </w:p>
    <w:p>
      <w:pPr>
        <w:pStyle w:val="3"/>
        <w:spacing w:before="7"/>
        <w:ind w:left="0"/>
        <w:rPr>
          <w:rFonts w:ascii="仿宋"/>
          <w:b/>
          <w:sz w:val="32"/>
        </w:rPr>
      </w:pPr>
    </w:p>
    <w:p>
      <w:pPr>
        <w:pStyle w:val="7"/>
        <w:numPr>
          <w:ilvl w:val="1"/>
          <w:numId w:val="1"/>
        </w:numPr>
        <w:tabs>
          <w:tab w:val="left" w:pos="1379"/>
          <w:tab w:val="left" w:pos="1380"/>
        </w:tabs>
        <w:spacing w:before="0" w:after="0" w:line="240" w:lineRule="auto"/>
        <w:ind w:left="1380" w:right="0" w:hanging="621"/>
        <w:jc w:val="left"/>
        <w:rPr>
          <w:sz w:val="24"/>
        </w:rPr>
      </w:pPr>
      <w:r>
        <w:rPr>
          <w:sz w:val="24"/>
        </w:rPr>
        <w:t>目标客户合作模式策划咨询（股权结构设计、知识产权合作等</w:t>
      </w:r>
      <w:r>
        <w:rPr>
          <w:spacing w:val="-120"/>
          <w:sz w:val="24"/>
        </w:rPr>
        <w:t>）</w:t>
      </w:r>
      <w:r>
        <w:rPr>
          <w:sz w:val="24"/>
        </w:rPr>
        <w:t>；</w:t>
      </w:r>
    </w:p>
    <w:p>
      <w:pPr>
        <w:pStyle w:val="7"/>
        <w:numPr>
          <w:ilvl w:val="1"/>
          <w:numId w:val="1"/>
        </w:numPr>
        <w:tabs>
          <w:tab w:val="left" w:pos="1379"/>
          <w:tab w:val="left" w:pos="1380"/>
        </w:tabs>
        <w:spacing w:before="134" w:after="0" w:line="240" w:lineRule="auto"/>
        <w:ind w:left="1380" w:right="0" w:hanging="621"/>
        <w:jc w:val="left"/>
        <w:rPr>
          <w:sz w:val="24"/>
        </w:rPr>
      </w:pPr>
      <w:r>
        <w:rPr>
          <w:sz w:val="24"/>
        </w:rPr>
        <w:t>创新技术评估评价组织；</w:t>
      </w:r>
    </w:p>
    <w:p>
      <w:pPr>
        <w:pStyle w:val="7"/>
        <w:numPr>
          <w:ilvl w:val="1"/>
          <w:numId w:val="1"/>
        </w:numPr>
        <w:tabs>
          <w:tab w:val="left" w:pos="1379"/>
          <w:tab w:val="left" w:pos="1380"/>
        </w:tabs>
        <w:spacing w:before="130" w:after="0" w:line="345" w:lineRule="auto"/>
        <w:ind w:left="1380" w:right="257" w:hanging="620"/>
        <w:jc w:val="left"/>
        <w:rPr>
          <w:sz w:val="24"/>
        </w:rPr>
      </w:pPr>
      <w:r>
        <w:rPr>
          <w:spacing w:val="-7"/>
          <w:sz w:val="24"/>
        </w:rPr>
        <w:t>创新技术本地产业化研发合作</w:t>
      </w:r>
      <w:r>
        <w:rPr>
          <w:sz w:val="24"/>
        </w:rPr>
        <w:t>（</w:t>
      </w:r>
      <w:r>
        <w:rPr>
          <w:spacing w:val="-10"/>
          <w:sz w:val="24"/>
        </w:rPr>
        <w:t>包括研发外包服务、高校科研院所、</w:t>
      </w:r>
      <w:r>
        <w:rPr>
          <w:sz w:val="24"/>
        </w:rPr>
        <w:t>条件设备平台合作等）资源渠道整合；</w:t>
      </w:r>
    </w:p>
    <w:p>
      <w:pPr>
        <w:pStyle w:val="7"/>
        <w:numPr>
          <w:ilvl w:val="1"/>
          <w:numId w:val="1"/>
        </w:numPr>
        <w:tabs>
          <w:tab w:val="left" w:pos="1379"/>
          <w:tab w:val="left" w:pos="1380"/>
        </w:tabs>
        <w:spacing w:before="0" w:after="0" w:line="305" w:lineRule="exact"/>
        <w:ind w:left="1380" w:right="0" w:hanging="621"/>
        <w:jc w:val="left"/>
        <w:rPr>
          <w:sz w:val="24"/>
        </w:rPr>
      </w:pPr>
      <w:r>
        <w:rPr>
          <w:sz w:val="24"/>
        </w:rPr>
        <w:t>检验检测渠道、资源衔接</w:t>
      </w:r>
    </w:p>
    <w:p>
      <w:pPr>
        <w:pStyle w:val="7"/>
        <w:numPr>
          <w:ilvl w:val="1"/>
          <w:numId w:val="1"/>
        </w:numPr>
        <w:tabs>
          <w:tab w:val="left" w:pos="1379"/>
          <w:tab w:val="left" w:pos="1380"/>
        </w:tabs>
        <w:spacing w:before="129" w:after="0" w:line="240" w:lineRule="auto"/>
        <w:ind w:left="1380" w:right="0" w:hanging="621"/>
        <w:jc w:val="left"/>
        <w:rPr>
          <w:sz w:val="24"/>
        </w:rPr>
      </w:pPr>
      <w:r>
        <w:rPr>
          <w:sz w:val="24"/>
        </w:rPr>
        <w:t>市场准入咨询（产品标准、政策合规等）</w:t>
      </w:r>
    </w:p>
    <w:p>
      <w:pPr>
        <w:pStyle w:val="7"/>
        <w:numPr>
          <w:ilvl w:val="1"/>
          <w:numId w:val="1"/>
        </w:numPr>
        <w:tabs>
          <w:tab w:val="left" w:pos="1379"/>
          <w:tab w:val="left" w:pos="1380"/>
        </w:tabs>
        <w:spacing w:before="134" w:after="0" w:line="240" w:lineRule="auto"/>
        <w:ind w:left="1380" w:right="0" w:hanging="621"/>
        <w:jc w:val="left"/>
        <w:rPr>
          <w:sz w:val="24"/>
        </w:rPr>
      </w:pPr>
      <w:r>
        <w:rPr>
          <w:sz w:val="24"/>
        </w:rPr>
        <w:t>标准文书文本参考</w:t>
      </w:r>
    </w:p>
    <w:p>
      <w:pPr>
        <w:pStyle w:val="3"/>
        <w:spacing w:before="5"/>
        <w:ind w:left="0"/>
        <w:rPr>
          <w:sz w:val="34"/>
        </w:rPr>
      </w:pPr>
    </w:p>
    <w:p>
      <w:pPr>
        <w:pStyle w:val="2"/>
        <w:spacing w:before="1"/>
      </w:pPr>
      <w:r>
        <w:rPr>
          <w:w w:val="105"/>
        </w:rPr>
        <w:t>综合服务</w:t>
      </w:r>
    </w:p>
    <w:p>
      <w:pPr>
        <w:pStyle w:val="3"/>
        <w:spacing w:before="12"/>
        <w:ind w:left="0"/>
        <w:rPr>
          <w:rFonts w:ascii="仿宋"/>
          <w:b/>
          <w:sz w:val="32"/>
        </w:rPr>
      </w:pPr>
    </w:p>
    <w:p>
      <w:pPr>
        <w:pStyle w:val="7"/>
        <w:numPr>
          <w:ilvl w:val="1"/>
          <w:numId w:val="1"/>
        </w:numPr>
        <w:tabs>
          <w:tab w:val="left" w:pos="1379"/>
          <w:tab w:val="left" w:pos="1380"/>
        </w:tabs>
        <w:spacing w:before="0" w:after="0" w:line="240" w:lineRule="auto"/>
        <w:ind w:left="1380" w:right="0" w:hanging="621"/>
        <w:jc w:val="left"/>
        <w:rPr>
          <w:sz w:val="24"/>
        </w:rPr>
      </w:pPr>
      <w:r>
        <w:rPr>
          <w:sz w:val="24"/>
        </w:rPr>
        <w:t>沟通联络、语言翻译等服务（平台另行报价、结算并组织实施</w:t>
      </w:r>
      <w:r>
        <w:rPr>
          <w:spacing w:val="-120"/>
          <w:sz w:val="24"/>
        </w:rPr>
        <w:t>）</w:t>
      </w:r>
      <w:r>
        <w:rPr>
          <w:sz w:val="24"/>
        </w:rPr>
        <w:t>。</w:t>
      </w:r>
    </w:p>
    <w:p>
      <w:pPr>
        <w:pStyle w:val="3"/>
        <w:spacing w:before="5"/>
        <w:ind w:left="0"/>
        <w:rPr>
          <w:sz w:val="34"/>
        </w:rPr>
      </w:pPr>
    </w:p>
    <w:p>
      <w:pPr>
        <w:pStyle w:val="2"/>
      </w:pPr>
      <w:r>
        <w:rPr>
          <w:w w:val="105"/>
        </w:rPr>
        <w:t>第三方专业服务资源整合服务</w:t>
      </w:r>
    </w:p>
    <w:p>
      <w:pPr>
        <w:pStyle w:val="3"/>
        <w:spacing w:before="8"/>
        <w:ind w:left="0"/>
        <w:rPr>
          <w:rFonts w:ascii="仿宋"/>
          <w:b/>
          <w:sz w:val="32"/>
        </w:rPr>
      </w:pPr>
    </w:p>
    <w:p>
      <w:pPr>
        <w:pStyle w:val="3"/>
        <w:spacing w:line="343" w:lineRule="auto"/>
        <w:ind w:left="120" w:right="258" w:firstLine="720"/>
        <w:jc w:val="both"/>
      </w:pPr>
      <w:r>
        <w:rPr>
          <w:spacing w:val="-8"/>
        </w:rPr>
        <w:t>平台将与经理人双方将密切合作，针对供应端项目目标市场发展战略以及</w:t>
      </w:r>
      <w:r>
        <w:rPr>
          <w:spacing w:val="-5"/>
        </w:rPr>
        <w:t>工作推进过程中对国际技术交易与产业创新合作第三方专业服务需求，提供工作</w:t>
      </w:r>
      <w:r>
        <w:t>渠道衔接、专业机构推荐等第三方专业服务资源整合服务。</w:t>
      </w:r>
    </w:p>
    <w:p>
      <w:pPr>
        <w:pStyle w:val="3"/>
        <w:spacing w:before="1"/>
        <w:ind w:left="759"/>
      </w:pPr>
      <w:r>
        <w:t>涉及第三方专业服务资源包括但不限于以下：</w:t>
      </w:r>
    </w:p>
    <w:p>
      <w:pPr>
        <w:pStyle w:val="7"/>
        <w:numPr>
          <w:ilvl w:val="1"/>
          <w:numId w:val="1"/>
        </w:numPr>
        <w:tabs>
          <w:tab w:val="left" w:pos="1379"/>
          <w:tab w:val="left" w:pos="1380"/>
        </w:tabs>
        <w:spacing w:before="134" w:after="0" w:line="340" w:lineRule="auto"/>
        <w:ind w:left="1380" w:right="258" w:hanging="620"/>
        <w:jc w:val="left"/>
        <w:rPr>
          <w:sz w:val="24"/>
        </w:rPr>
      </w:pPr>
      <w:r>
        <w:rPr>
          <w:spacing w:val="-11"/>
          <w:sz w:val="24"/>
        </w:rPr>
        <w:t>创新主体咨询服务机构，包括科技评估、情报信息、知识产权、标准</w:t>
      </w:r>
      <w:r>
        <w:rPr>
          <w:sz w:val="24"/>
        </w:rPr>
        <w:t>咨询、科技咨询机构等</w:t>
      </w:r>
    </w:p>
    <w:p>
      <w:pPr>
        <w:pStyle w:val="7"/>
        <w:numPr>
          <w:ilvl w:val="1"/>
          <w:numId w:val="1"/>
        </w:numPr>
        <w:tabs>
          <w:tab w:val="left" w:pos="1379"/>
          <w:tab w:val="left" w:pos="1380"/>
        </w:tabs>
        <w:spacing w:before="5" w:after="0" w:line="240" w:lineRule="auto"/>
        <w:ind w:left="1380" w:right="0" w:hanging="621"/>
        <w:jc w:val="left"/>
        <w:rPr>
          <w:sz w:val="24"/>
        </w:rPr>
      </w:pPr>
      <w:r>
        <w:rPr>
          <w:sz w:val="24"/>
        </w:rPr>
        <w:t>科技金融机构，包括投资机构（天使投资、创业投资等股权投资基</w:t>
      </w:r>
    </w:p>
    <w:p>
      <w:pPr>
        <w:spacing w:after="0" w:line="240" w:lineRule="auto"/>
        <w:jc w:val="left"/>
        <w:rPr>
          <w:sz w:val="24"/>
        </w:rPr>
        <w:sectPr>
          <w:pgSz w:w="11900" w:h="16840"/>
          <w:pgMar w:top="1500" w:right="1540" w:bottom="1200" w:left="1680" w:header="0" w:footer="1005" w:gutter="0"/>
        </w:sectPr>
      </w:pPr>
    </w:p>
    <w:p>
      <w:pPr>
        <w:pStyle w:val="3"/>
        <w:spacing w:before="55" w:line="343" w:lineRule="auto"/>
        <w:ind w:right="257"/>
        <w:jc w:val="both"/>
      </w:pPr>
      <w:r>
        <w:t>金</w:t>
      </w:r>
      <w:r>
        <w:rPr>
          <w:spacing w:val="-120"/>
        </w:rPr>
        <w:t>）</w:t>
      </w:r>
      <w:r>
        <w:rPr>
          <w:spacing w:val="-13"/>
        </w:rPr>
        <w:t>、科技担保机构、保险机构</w:t>
      </w:r>
      <w:r>
        <w:t>（</w:t>
      </w:r>
      <w:r>
        <w:rPr>
          <w:spacing w:val="-6"/>
        </w:rPr>
        <w:t>知识产权保险、首台</w:t>
      </w:r>
      <w:r>
        <w:t>/</w:t>
      </w:r>
      <w:r>
        <w:rPr>
          <w:spacing w:val="-3"/>
        </w:rPr>
        <w:t>套产品保险、</w:t>
      </w:r>
      <w:r>
        <w:t>产品研发责任险等</w:t>
      </w:r>
      <w:r>
        <w:rPr>
          <w:spacing w:val="-120"/>
        </w:rPr>
        <w:t>）</w:t>
      </w:r>
      <w:r>
        <w:rPr>
          <w:spacing w:val="-36"/>
        </w:rPr>
        <w:t>、银行</w:t>
      </w:r>
      <w:r>
        <w:t>（银行科技型中小企业融资服务</w:t>
      </w:r>
      <w:r>
        <w:rPr>
          <w:spacing w:val="-120"/>
        </w:rPr>
        <w:t>）</w:t>
      </w:r>
      <w:r>
        <w:rPr>
          <w:spacing w:val="-18"/>
        </w:rPr>
        <w:t>、股权交</w:t>
      </w:r>
      <w:r>
        <w:t>易中心等</w:t>
      </w:r>
    </w:p>
    <w:p>
      <w:pPr>
        <w:pStyle w:val="7"/>
        <w:numPr>
          <w:ilvl w:val="1"/>
          <w:numId w:val="1"/>
        </w:numPr>
        <w:tabs>
          <w:tab w:val="left" w:pos="1379"/>
          <w:tab w:val="left" w:pos="1380"/>
        </w:tabs>
        <w:spacing w:before="1" w:after="0" w:line="340" w:lineRule="auto"/>
        <w:ind w:left="1380" w:right="257" w:hanging="620"/>
        <w:jc w:val="left"/>
        <w:rPr>
          <w:sz w:val="24"/>
        </w:rPr>
      </w:pPr>
      <w:r>
        <w:rPr>
          <w:spacing w:val="-13"/>
          <w:sz w:val="24"/>
        </w:rPr>
        <w:t>研发技术合作机构，包括合作研究开发、工程技术研究实验、合同研</w:t>
      </w:r>
      <w:r>
        <w:rPr>
          <w:sz w:val="24"/>
        </w:rPr>
        <w:t>发外包、中试、检测、条件设备平台、合同委托生产外包等</w:t>
      </w:r>
    </w:p>
    <w:p>
      <w:pPr>
        <w:pStyle w:val="7"/>
        <w:numPr>
          <w:ilvl w:val="1"/>
          <w:numId w:val="1"/>
        </w:numPr>
        <w:tabs>
          <w:tab w:val="left" w:pos="1379"/>
          <w:tab w:val="left" w:pos="1380"/>
          <w:tab w:val="left" w:pos="4846"/>
        </w:tabs>
        <w:spacing w:before="5" w:after="0" w:line="345" w:lineRule="auto"/>
        <w:ind w:left="1380" w:right="258" w:hanging="620"/>
        <w:jc w:val="left"/>
        <w:rPr>
          <w:sz w:val="24"/>
        </w:rPr>
      </w:pPr>
      <w:r>
        <w:rPr>
          <w:sz w:val="24"/>
        </w:rPr>
        <w:t>科技资源流动</w:t>
      </w:r>
      <w:r>
        <w:rPr>
          <w:spacing w:val="-14"/>
          <w:sz w:val="24"/>
        </w:rPr>
        <w:t>、</w:t>
      </w:r>
      <w:r>
        <w:rPr>
          <w:sz w:val="24"/>
        </w:rPr>
        <w:t>配置服务机构:</w:t>
      </w:r>
      <w:r>
        <w:rPr>
          <w:sz w:val="24"/>
        </w:rPr>
        <w:tab/>
      </w:r>
      <w:r>
        <w:rPr>
          <w:sz w:val="24"/>
        </w:rPr>
        <w:t>包括技术市场</w:t>
      </w:r>
      <w:r>
        <w:rPr>
          <w:spacing w:val="-14"/>
          <w:sz w:val="24"/>
        </w:rPr>
        <w:t>、</w:t>
      </w:r>
      <w:r>
        <w:rPr>
          <w:sz w:val="24"/>
        </w:rPr>
        <w:t>人才中介市场</w:t>
      </w:r>
      <w:r>
        <w:rPr>
          <w:spacing w:val="-14"/>
          <w:sz w:val="24"/>
        </w:rPr>
        <w:t>、</w:t>
      </w:r>
      <w:r>
        <w:rPr>
          <w:spacing w:val="-16"/>
          <w:sz w:val="24"/>
        </w:rPr>
        <w:t>科</w:t>
      </w:r>
      <w:r>
        <w:rPr>
          <w:sz w:val="24"/>
        </w:rPr>
        <w:t>技条件市场、技术产权交易机构、成果转化服务机构等</w:t>
      </w:r>
    </w:p>
    <w:p>
      <w:pPr>
        <w:pStyle w:val="7"/>
        <w:numPr>
          <w:ilvl w:val="1"/>
          <w:numId w:val="1"/>
        </w:numPr>
        <w:tabs>
          <w:tab w:val="left" w:pos="1379"/>
          <w:tab w:val="left" w:pos="1380"/>
        </w:tabs>
        <w:spacing w:before="0" w:after="0" w:line="345" w:lineRule="auto"/>
        <w:ind w:left="1380" w:right="257" w:hanging="620"/>
        <w:jc w:val="left"/>
        <w:rPr>
          <w:sz w:val="24"/>
        </w:rPr>
      </w:pPr>
      <w:r>
        <w:rPr>
          <w:spacing w:val="-9"/>
          <w:sz w:val="24"/>
        </w:rPr>
        <w:t>平台载体与技术创新过程服务机构，包括创业服务中心、孵化器、加</w:t>
      </w:r>
      <w:r>
        <w:rPr>
          <w:sz w:val="24"/>
        </w:rPr>
        <w:t>速器、科技园区</w:t>
      </w:r>
    </w:p>
    <w:p>
      <w:pPr>
        <w:pStyle w:val="7"/>
        <w:numPr>
          <w:ilvl w:val="1"/>
          <w:numId w:val="1"/>
        </w:numPr>
        <w:tabs>
          <w:tab w:val="left" w:pos="1379"/>
          <w:tab w:val="left" w:pos="1380"/>
        </w:tabs>
        <w:spacing w:before="0" w:after="0" w:line="340" w:lineRule="auto"/>
        <w:ind w:left="1380" w:right="258" w:hanging="620"/>
        <w:jc w:val="left"/>
        <w:rPr>
          <w:sz w:val="24"/>
        </w:rPr>
      </w:pPr>
      <w:r>
        <w:rPr>
          <w:spacing w:val="-14"/>
          <w:sz w:val="24"/>
        </w:rPr>
        <w:t>商务服务机构，包括会计事务所、律师事务所、技能培训机构、管理</w:t>
      </w:r>
      <w:r>
        <w:rPr>
          <w:sz w:val="24"/>
        </w:rPr>
        <w:t>咨询、招投标机构</w:t>
      </w:r>
    </w:p>
    <w:p>
      <w:pPr>
        <w:pStyle w:val="3"/>
        <w:spacing w:line="343" w:lineRule="auto"/>
        <w:ind w:left="120" w:right="257" w:firstLine="480"/>
        <w:jc w:val="both"/>
      </w:pPr>
      <w:r>
        <w:rPr>
          <w:spacing w:val="-11"/>
        </w:rPr>
        <w:t>除非提前向声明，并达成一致意见，经理人不得直接向供应端项目提供专业</w:t>
      </w:r>
      <w:r>
        <w:rPr>
          <w:spacing w:val="-12"/>
        </w:rPr>
        <w:t>服务；如有相关情况，经理人直接提供专业服务，或针对供应端项目开展更多平</w:t>
      </w:r>
      <w:r>
        <w:rPr>
          <w:spacing w:val="-8"/>
        </w:rPr>
        <w:t>台未能知晓并核准工作，如有任何法律纠纷或损害赔偿诉求产生，经理人将独立</w:t>
      </w:r>
      <w:r>
        <w:t>承担。</w:t>
      </w:r>
    </w:p>
    <w:p>
      <w:pPr>
        <w:pStyle w:val="3"/>
        <w:spacing w:before="10"/>
        <w:ind w:left="0"/>
        <w:rPr>
          <w:sz w:val="23"/>
        </w:rPr>
      </w:pPr>
    </w:p>
    <w:p>
      <w:pPr>
        <w:pStyle w:val="2"/>
      </w:pPr>
      <w:r>
        <w:rPr>
          <w:w w:val="105"/>
        </w:rPr>
        <w:t>推荐目标市场合作模式</w:t>
      </w:r>
    </w:p>
    <w:p>
      <w:pPr>
        <w:pStyle w:val="3"/>
        <w:spacing w:before="8"/>
        <w:ind w:left="0"/>
        <w:rPr>
          <w:rFonts w:ascii="仿宋"/>
          <w:b/>
          <w:sz w:val="32"/>
        </w:rPr>
      </w:pPr>
    </w:p>
    <w:p>
      <w:pPr>
        <w:pStyle w:val="3"/>
        <w:spacing w:line="345" w:lineRule="auto"/>
        <w:ind w:left="120" w:right="257" w:firstLine="720"/>
        <w:jc w:val="both"/>
      </w:pPr>
      <w:r>
        <w:rPr>
          <w:spacing w:val="-8"/>
        </w:rPr>
        <w:t>平台将与经理人密切合作，共同为供应端项目制定工作计划，除非经理人提前与平台达成一致，不能在工作计划以及以下合作模式之外，向供应端项目推</w:t>
      </w:r>
      <w:r>
        <w:t>荐其他目标市场合作模式：</w:t>
      </w:r>
    </w:p>
    <w:p>
      <w:pPr>
        <w:pStyle w:val="3"/>
        <w:spacing w:before="10"/>
        <w:ind w:left="0"/>
        <w:rPr>
          <w:sz w:val="33"/>
        </w:rPr>
      </w:pPr>
    </w:p>
    <w:p>
      <w:pPr>
        <w:pStyle w:val="3"/>
        <w:spacing w:line="343" w:lineRule="auto"/>
        <w:ind w:left="120" w:right="257" w:firstLine="720"/>
        <w:jc w:val="both"/>
      </w:pPr>
      <w:r>
        <w:rPr>
          <w:spacing w:val="-6"/>
        </w:rPr>
        <w:t>技术服务、技术咨询、技术</w:t>
      </w:r>
      <w:r>
        <w:t>（</w:t>
      </w:r>
      <w:r>
        <w:rPr>
          <w:spacing w:val="-4"/>
        </w:rPr>
        <w:t>合作、委托</w:t>
      </w:r>
      <w:r>
        <w:rPr>
          <w:spacing w:val="-15"/>
        </w:rPr>
        <w:t>）</w:t>
      </w:r>
      <w:r>
        <w:rPr>
          <w:spacing w:val="-7"/>
        </w:rPr>
        <w:t>开发、技术秘密转让、专利权</w:t>
      </w:r>
      <w:r>
        <w:rPr>
          <w:spacing w:val="-14"/>
        </w:rPr>
        <w:t>转让、专利申请权转让、专利权</w:t>
      </w:r>
      <w:r>
        <w:t>（专利申请技术</w:t>
      </w:r>
      <w:r>
        <w:rPr>
          <w:spacing w:val="-49"/>
        </w:rPr>
        <w:t>）</w:t>
      </w:r>
      <w:r>
        <w:rPr>
          <w:spacing w:val="-13"/>
        </w:rPr>
        <w:t>实施许可</w:t>
      </w:r>
      <w:r>
        <w:t>（</w:t>
      </w:r>
      <w:r>
        <w:rPr>
          <w:spacing w:val="-14"/>
        </w:rPr>
        <w:t>独占、排他、普通、</w:t>
      </w:r>
      <w:r>
        <w:t>可转让、交叉</w:t>
      </w:r>
      <w:r>
        <w:rPr>
          <w:spacing w:val="-120"/>
        </w:rPr>
        <w:t>）</w:t>
      </w:r>
      <w:r>
        <w:t>、合作生产、工程承包、设备引进、公共工程特许权（BOT</w:t>
      </w:r>
      <w:r>
        <w:rPr>
          <w:spacing w:val="-120"/>
        </w:rPr>
        <w:t>）</w:t>
      </w:r>
      <w:r>
        <w:t>、特许经营、补偿贸易、人才引进、股权投资合作、独资（合资）企业落地 、创新技术产品市场开拓、合同研发外包、创新技术供应链合作。</w:t>
      </w:r>
    </w:p>
    <w:p>
      <w:pPr>
        <w:pStyle w:val="3"/>
        <w:ind w:left="0"/>
      </w:pPr>
    </w:p>
    <w:p>
      <w:pPr>
        <w:pStyle w:val="3"/>
        <w:spacing w:before="5"/>
        <w:ind w:left="0"/>
        <w:rPr>
          <w:sz w:val="34"/>
        </w:rPr>
      </w:pPr>
    </w:p>
    <w:p>
      <w:pPr>
        <w:pStyle w:val="2"/>
      </w:pPr>
      <w:r>
        <w:rPr>
          <w:w w:val="105"/>
        </w:rPr>
        <w:t>服务形式</w:t>
      </w:r>
    </w:p>
    <w:p>
      <w:pPr>
        <w:pStyle w:val="3"/>
        <w:ind w:left="0"/>
        <w:rPr>
          <w:rFonts w:ascii="仿宋"/>
          <w:b/>
          <w:sz w:val="33"/>
        </w:rPr>
      </w:pPr>
    </w:p>
    <w:p>
      <w:pPr>
        <w:pStyle w:val="3"/>
        <w:ind w:left="840"/>
      </w:pPr>
      <w:r>
        <w:t>平台将与经理人密切合作，共同为供应端项目提供国际技术交易促进咨询</w:t>
      </w:r>
    </w:p>
    <w:p>
      <w:pPr>
        <w:spacing w:after="0"/>
        <w:sectPr>
          <w:pgSz w:w="11900" w:h="16840"/>
          <w:pgMar w:top="1500" w:right="1540" w:bottom="1200" w:left="1680" w:header="0" w:footer="1005" w:gutter="0"/>
        </w:sectPr>
      </w:pPr>
    </w:p>
    <w:p>
      <w:pPr>
        <w:pStyle w:val="3"/>
        <w:spacing w:before="55" w:line="343" w:lineRule="auto"/>
        <w:ind w:left="120" w:right="257"/>
        <w:jc w:val="both"/>
      </w:pPr>
      <w:r>
        <w:rPr>
          <w:spacing w:val="-11"/>
        </w:rPr>
        <w:t>性质服务，除非事前约定，服务形式应不包括直接提供书面报告、撰写或其它直</w:t>
      </w:r>
      <w:r>
        <w:rPr>
          <w:spacing w:val="-10"/>
        </w:rPr>
        <w:t>接专业服务，服务形式主要以邮件、电视电话会议、微信等即时社交平台、钉钉</w:t>
      </w:r>
      <w:r>
        <w:rPr>
          <w:spacing w:val="-7"/>
        </w:rPr>
        <w:t>等远程办公平台信息交流为主，如需深入专业服务、现场服务或其它涉及直接成</w:t>
      </w:r>
      <w:r>
        <w:t>本产生的服务，平台将代表双方另行与具体供应端项目沟通。</w:t>
      </w:r>
    </w:p>
    <w:p>
      <w:pPr>
        <w:pStyle w:val="2"/>
        <w:spacing w:before="165"/>
        <w:ind w:left="120"/>
        <w:rPr>
          <w:rFonts w:hint="eastAsia" w:ascii="楷体" w:eastAsia="楷体"/>
        </w:rPr>
      </w:pPr>
      <w:r>
        <w:rPr>
          <w:rFonts w:hint="eastAsia" w:ascii="楷体" w:eastAsia="楷体"/>
          <w:w w:val="105"/>
        </w:rPr>
        <w:t>合作共赢</w:t>
      </w:r>
    </w:p>
    <w:p>
      <w:pPr>
        <w:pStyle w:val="3"/>
        <w:spacing w:before="5"/>
        <w:ind w:left="0"/>
        <w:rPr>
          <w:rFonts w:ascii="楷体"/>
          <w:b/>
          <w:sz w:val="21"/>
        </w:rPr>
      </w:pPr>
    </w:p>
    <w:p>
      <w:pPr>
        <w:pStyle w:val="3"/>
        <w:spacing w:line="340" w:lineRule="auto"/>
        <w:ind w:left="120" w:right="137" w:firstLine="720"/>
      </w:pPr>
      <w:r>
        <w:t>平台与经理人共同合作，按照双方与具体供应端项目签署合作协议约定， 为供应端项目提供服务，将按以下模式获得收入以及分配：</w:t>
      </w:r>
    </w:p>
    <w:p>
      <w:pPr>
        <w:pStyle w:val="7"/>
        <w:numPr>
          <w:ilvl w:val="0"/>
          <w:numId w:val="2"/>
        </w:numPr>
        <w:tabs>
          <w:tab w:val="left" w:pos="545"/>
        </w:tabs>
        <w:spacing w:before="5" w:after="0" w:line="345" w:lineRule="auto"/>
        <w:ind w:left="545" w:right="259" w:hanging="425"/>
        <w:jc w:val="both"/>
        <w:rPr>
          <w:sz w:val="24"/>
        </w:rPr>
      </w:pPr>
      <w:r>
        <w:rPr>
          <w:spacing w:val="-4"/>
          <w:sz w:val="24"/>
        </w:rPr>
        <w:t>双方共同合作，以技术服务、技术咨询、技术</w:t>
      </w:r>
      <w:r>
        <w:rPr>
          <w:sz w:val="24"/>
        </w:rPr>
        <w:t>（</w:t>
      </w:r>
      <w:r>
        <w:rPr>
          <w:spacing w:val="-3"/>
          <w:sz w:val="24"/>
        </w:rPr>
        <w:t>合作、委托</w:t>
      </w:r>
      <w:r>
        <w:rPr>
          <w:spacing w:val="-7"/>
          <w:sz w:val="24"/>
        </w:rPr>
        <w:t>）</w:t>
      </w:r>
      <w:r>
        <w:rPr>
          <w:spacing w:val="-5"/>
          <w:sz w:val="24"/>
        </w:rPr>
        <w:t>开发、技术秘</w:t>
      </w:r>
      <w:r>
        <w:rPr>
          <w:spacing w:val="-6"/>
          <w:sz w:val="24"/>
        </w:rPr>
        <w:t>密转让、专利权转让、专利申请权转让、专利权</w:t>
      </w:r>
      <w:r>
        <w:rPr>
          <w:sz w:val="24"/>
        </w:rPr>
        <w:t>（专利申请技术</w:t>
      </w:r>
      <w:r>
        <w:rPr>
          <w:spacing w:val="-9"/>
          <w:sz w:val="24"/>
        </w:rPr>
        <w:t>）</w:t>
      </w:r>
      <w:r>
        <w:rPr>
          <w:spacing w:val="-5"/>
          <w:sz w:val="24"/>
        </w:rPr>
        <w:t>实施许可</w:t>
      </w:r>
    </w:p>
    <w:p>
      <w:pPr>
        <w:pStyle w:val="3"/>
        <w:spacing w:line="343" w:lineRule="auto"/>
        <w:ind w:left="545" w:right="257"/>
        <w:jc w:val="both"/>
      </w:pPr>
      <w:r>
        <w:t>（</w:t>
      </w:r>
      <w:r>
        <w:rPr>
          <w:spacing w:val="-10"/>
        </w:rPr>
        <w:t>独占、排他、普通、可转让、交叉</w:t>
      </w:r>
      <w:r>
        <w:rPr>
          <w:spacing w:val="-120"/>
        </w:rPr>
        <w:t>）</w:t>
      </w:r>
      <w:r>
        <w:rPr>
          <w:spacing w:val="-11"/>
        </w:rPr>
        <w:t>、合作生产、工程承包、设备引进、公</w:t>
      </w:r>
      <w:r>
        <w:rPr>
          <w:spacing w:val="-2"/>
        </w:rPr>
        <w:t>共工程特许权</w:t>
      </w:r>
      <w:r>
        <w:t>（BOT</w:t>
      </w:r>
      <w:r>
        <w:rPr>
          <w:spacing w:val="-120"/>
        </w:rPr>
        <w:t>）</w:t>
      </w:r>
      <w:r>
        <w:rPr>
          <w:spacing w:val="-7"/>
        </w:rPr>
        <w:t>、特许经营、股权投资合作等模式，为供应端项目成功</w:t>
      </w:r>
      <w:r>
        <w:rPr>
          <w:spacing w:val="-5"/>
        </w:rPr>
        <w:t>达成国际技术交易合作，平台将负责依据与供应端项目合作协议约定，代表</w:t>
      </w:r>
      <w:r>
        <w:t>双方从合作交易达成金额之中获得一定比例顾问费分配（标准核算另附</w:t>
      </w:r>
      <w:r>
        <w:rPr>
          <w:spacing w:val="-120"/>
        </w:rPr>
        <w:t>）</w:t>
      </w:r>
      <w:r>
        <w:t>；</w:t>
      </w:r>
    </w:p>
    <w:p>
      <w:pPr>
        <w:pStyle w:val="7"/>
        <w:numPr>
          <w:ilvl w:val="0"/>
          <w:numId w:val="2"/>
        </w:numPr>
        <w:tabs>
          <w:tab w:val="left" w:pos="545"/>
        </w:tabs>
        <w:spacing w:before="0" w:after="0" w:line="343" w:lineRule="auto"/>
        <w:ind w:left="545" w:right="259" w:hanging="425"/>
        <w:jc w:val="both"/>
        <w:rPr>
          <w:sz w:val="24"/>
        </w:rPr>
      </w:pPr>
      <w:r>
        <w:rPr>
          <w:spacing w:val="-13"/>
          <w:sz w:val="24"/>
        </w:rPr>
        <w:t>双方共同合作，为供应端项目提供专题、专项扶持政策</w:t>
      </w:r>
      <w:r>
        <w:rPr>
          <w:sz w:val="24"/>
        </w:rPr>
        <w:t>（</w:t>
      </w:r>
      <w:r>
        <w:rPr>
          <w:spacing w:val="-17"/>
          <w:sz w:val="24"/>
        </w:rPr>
        <w:t>人才、交流、研发、</w:t>
      </w:r>
      <w:r>
        <w:rPr>
          <w:sz w:val="24"/>
        </w:rPr>
        <w:t>产业化等</w:t>
      </w:r>
      <w:r>
        <w:rPr>
          <w:spacing w:val="-23"/>
          <w:sz w:val="24"/>
        </w:rPr>
        <w:t>）</w:t>
      </w:r>
      <w:r>
        <w:rPr>
          <w:spacing w:val="-3"/>
          <w:sz w:val="24"/>
        </w:rPr>
        <w:t>申报咨询与服务成功达成政策性资金到位，平台将负责依据与供</w:t>
      </w:r>
      <w:r>
        <w:rPr>
          <w:spacing w:val="-6"/>
          <w:sz w:val="24"/>
        </w:rPr>
        <w:t>应端项目合作协议约定，代表双方从合作政策资金到位金额之中获得一定比</w:t>
      </w:r>
      <w:r>
        <w:rPr>
          <w:sz w:val="24"/>
        </w:rPr>
        <w:t>例咨询费分配（核算标准另附</w:t>
      </w:r>
      <w:r>
        <w:rPr>
          <w:spacing w:val="-120"/>
          <w:sz w:val="24"/>
        </w:rPr>
        <w:t>）</w:t>
      </w:r>
      <w:r>
        <w:rPr>
          <w:sz w:val="24"/>
        </w:rPr>
        <w:t>；</w:t>
      </w:r>
    </w:p>
    <w:p>
      <w:pPr>
        <w:pStyle w:val="7"/>
        <w:numPr>
          <w:ilvl w:val="0"/>
          <w:numId w:val="2"/>
        </w:numPr>
        <w:tabs>
          <w:tab w:val="left" w:pos="545"/>
        </w:tabs>
        <w:spacing w:before="0" w:after="0" w:line="240" w:lineRule="auto"/>
        <w:ind w:left="545" w:right="0" w:hanging="425"/>
        <w:jc w:val="both"/>
        <w:rPr>
          <w:sz w:val="24"/>
        </w:rPr>
      </w:pPr>
      <w:r>
        <w:drawing>
          <wp:anchor distT="0" distB="0" distL="0" distR="0" simplePos="0" relativeHeight="251461632" behindDoc="1" locked="0" layoutInCell="1" allowOverlap="1">
            <wp:simplePos x="0" y="0"/>
            <wp:positionH relativeFrom="page">
              <wp:posOffset>3892550</wp:posOffset>
            </wp:positionH>
            <wp:positionV relativeFrom="paragraph">
              <wp:posOffset>38100</wp:posOffset>
            </wp:positionV>
            <wp:extent cx="66675" cy="1174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66675" cy="117475"/>
                    </a:xfrm>
                    <a:prstGeom prst="rect">
                      <a:avLst/>
                    </a:prstGeom>
                  </pic:spPr>
                </pic:pic>
              </a:graphicData>
            </a:graphic>
          </wp:anchor>
        </w:drawing>
      </w:r>
      <w:r>
        <w:rPr>
          <w:spacing w:val="-4"/>
          <w:sz w:val="24"/>
        </w:rPr>
        <w:t xml:space="preserve">上述服务费用平台与经理人各分配 </w:t>
      </w:r>
      <w:r>
        <w:rPr>
          <w:sz w:val="24"/>
        </w:rPr>
        <w:t>50；</w:t>
      </w:r>
    </w:p>
    <w:p>
      <w:pPr>
        <w:pStyle w:val="7"/>
        <w:numPr>
          <w:ilvl w:val="0"/>
          <w:numId w:val="2"/>
        </w:numPr>
        <w:tabs>
          <w:tab w:val="left" w:pos="545"/>
        </w:tabs>
        <w:spacing w:before="128" w:after="0" w:line="345" w:lineRule="auto"/>
        <w:ind w:left="545" w:right="258" w:hanging="425"/>
        <w:jc w:val="both"/>
        <w:rPr>
          <w:sz w:val="24"/>
        </w:rPr>
      </w:pPr>
      <w:r>
        <w:rPr>
          <w:spacing w:val="-4"/>
          <w:sz w:val="24"/>
        </w:rPr>
        <w:t>平台与经理人按照与具体供应端项目达成一致，提供收费服务项目，或其它</w:t>
      </w:r>
      <w:r>
        <w:rPr>
          <w:sz w:val="24"/>
        </w:rPr>
        <w:t>合作模式，将另行协商约定双方合作收益分配办。</w:t>
      </w:r>
    </w:p>
    <w:p>
      <w:pPr>
        <w:pStyle w:val="3"/>
        <w:ind w:left="0"/>
      </w:pPr>
    </w:p>
    <w:p>
      <w:pPr>
        <w:pStyle w:val="3"/>
        <w:spacing w:before="12"/>
        <w:ind w:left="0"/>
        <w:rPr>
          <w:sz w:val="22"/>
        </w:rPr>
      </w:pPr>
    </w:p>
    <w:p>
      <w:pPr>
        <w:pStyle w:val="2"/>
        <w:ind w:left="120"/>
        <w:rPr>
          <w:rFonts w:hint="eastAsia" w:ascii="楷体" w:eastAsia="楷体"/>
        </w:rPr>
      </w:pPr>
      <w:r>
        <w:rPr>
          <w:rFonts w:hint="eastAsia" w:ascii="楷体" w:eastAsia="楷体"/>
          <w:w w:val="105"/>
        </w:rPr>
        <w:t>保密、合规与知识产权保护</w:t>
      </w:r>
    </w:p>
    <w:p>
      <w:pPr>
        <w:pStyle w:val="3"/>
        <w:spacing w:before="3"/>
        <w:ind w:left="0"/>
        <w:rPr>
          <w:rFonts w:ascii="楷体"/>
          <w:b/>
          <w:sz w:val="23"/>
        </w:rPr>
      </w:pPr>
    </w:p>
    <w:p>
      <w:pPr>
        <w:pStyle w:val="3"/>
        <w:spacing w:line="242" w:lineRule="auto"/>
        <w:ind w:left="120" w:right="257" w:firstLine="480"/>
        <w:jc w:val="both"/>
        <w:rPr>
          <w:rFonts w:hint="eastAsia" w:ascii="仿宋" w:eastAsia="仿宋"/>
        </w:rPr>
      </w:pPr>
      <w:r>
        <w:rPr>
          <w:rFonts w:hint="eastAsia" w:ascii="仿宋" w:eastAsia="仿宋"/>
        </w:rPr>
        <w:t>1</w:t>
      </w:r>
      <w:r>
        <w:rPr>
          <w:rFonts w:hint="eastAsia" w:ascii="仿宋" w:eastAsia="仿宋"/>
          <w:spacing w:val="-11"/>
        </w:rPr>
        <w:t>、 双方共同为供应端项目提供国际技术交易促进服务，应在与供应端项目</w:t>
      </w:r>
      <w:r>
        <w:rPr>
          <w:rFonts w:hint="eastAsia" w:ascii="仿宋" w:eastAsia="仿宋"/>
          <w:spacing w:val="-18"/>
        </w:rPr>
        <w:t>达成合作协议之中，明确平台与经理人双方共同承担的保密义务，对保密内容</w:t>
      </w:r>
      <w:r>
        <w:rPr>
          <w:rFonts w:hint="eastAsia" w:ascii="仿宋" w:eastAsia="仿宋"/>
        </w:rPr>
        <w:t>（</w:t>
      </w:r>
      <w:r>
        <w:rPr>
          <w:rFonts w:hint="eastAsia" w:ascii="仿宋" w:eastAsia="仿宋"/>
          <w:spacing w:val="-15"/>
        </w:rPr>
        <w:t>包</w:t>
      </w:r>
      <w:r>
        <w:rPr>
          <w:rFonts w:hint="eastAsia" w:ascii="仿宋" w:eastAsia="仿宋"/>
        </w:rPr>
        <w:t>括技术信息和经营信息</w:t>
      </w:r>
      <w:r>
        <w:rPr>
          <w:rFonts w:hint="eastAsia" w:ascii="仿宋" w:eastAsia="仿宋"/>
          <w:spacing w:val="-120"/>
        </w:rPr>
        <w:t>）</w:t>
      </w:r>
      <w:r>
        <w:rPr>
          <w:rFonts w:hint="eastAsia" w:ascii="仿宋" w:eastAsia="仿宋"/>
          <w:spacing w:val="-16"/>
        </w:rPr>
        <w:t xml:space="preserve">、涉密人员范围、保密期限、泄密责任等作出明确约定， </w:t>
      </w:r>
      <w:r>
        <w:rPr>
          <w:rFonts w:hint="eastAsia" w:ascii="仿宋" w:eastAsia="仿宋"/>
        </w:rPr>
        <w:t>双方共同遵守落实。</w:t>
      </w:r>
    </w:p>
    <w:p>
      <w:pPr>
        <w:pStyle w:val="3"/>
        <w:spacing w:before="160" w:line="242" w:lineRule="auto"/>
        <w:ind w:left="120" w:right="137" w:firstLine="480"/>
        <w:rPr>
          <w:rFonts w:hint="eastAsia" w:ascii="仿宋" w:eastAsia="仿宋"/>
        </w:rPr>
      </w:pPr>
      <w:r>
        <w:rPr>
          <w:rFonts w:hint="eastAsia" w:ascii="仿宋" w:eastAsia="仿宋"/>
        </w:rPr>
        <w:t>2</w:t>
      </w:r>
      <w:r>
        <w:rPr>
          <w:rFonts w:hint="eastAsia" w:ascii="仿宋" w:eastAsia="仿宋"/>
          <w:spacing w:val="-10"/>
        </w:rPr>
        <w:t>、 双方共同为供应端项目提供国际技术交易促进服务，与供应端项目明确</w:t>
      </w:r>
      <w:r>
        <w:rPr>
          <w:rFonts w:hint="eastAsia" w:ascii="仿宋" w:eastAsia="仿宋"/>
          <w:spacing w:val="-20"/>
        </w:rPr>
        <w:t xml:space="preserve">落实相关合作涉及保密技术文件情况，并共同承担保密责任，其中包括并不限于： </w:t>
      </w:r>
      <w:r>
        <w:rPr>
          <w:rFonts w:hint="eastAsia" w:ascii="仿宋" w:eastAsia="仿宋"/>
          <w:spacing w:val="-8"/>
        </w:rPr>
        <w:t>技术背景资料、可行性论证报告、技术评价报告、技术标准和规范、原始设计和</w:t>
      </w:r>
      <w:r>
        <w:rPr>
          <w:rFonts w:hint="eastAsia" w:ascii="仿宋" w:eastAsia="仿宋"/>
          <w:spacing w:val="-12"/>
        </w:rPr>
        <w:t>工艺文件、商业策略和方法、营销方针或活动、业务拓展计划、客户信息、财务信息、业务交易、文件和各种类别的研究资料和管理方法。</w:t>
      </w:r>
    </w:p>
    <w:p>
      <w:pPr>
        <w:pStyle w:val="3"/>
        <w:spacing w:before="160"/>
        <w:ind w:left="600"/>
        <w:jc w:val="both"/>
        <w:rPr>
          <w:rFonts w:hint="eastAsia" w:ascii="仿宋" w:eastAsia="仿宋"/>
        </w:rPr>
      </w:pPr>
      <w:r>
        <w:rPr>
          <w:rFonts w:hint="eastAsia" w:ascii="仿宋" w:eastAsia="仿宋"/>
        </w:rPr>
        <w:t>3、 为落实对保密信息进行保密，双方应在相关供应端项目提供国际技术交</w:t>
      </w:r>
    </w:p>
    <w:p>
      <w:pPr>
        <w:spacing w:after="0"/>
        <w:jc w:val="both"/>
        <w:rPr>
          <w:rFonts w:hint="eastAsia" w:ascii="仿宋" w:eastAsia="仿宋"/>
        </w:rPr>
        <w:sectPr>
          <w:pgSz w:w="11900" w:h="16840"/>
          <w:pgMar w:top="1500" w:right="1540" w:bottom="1200" w:left="1680" w:header="0" w:footer="1005" w:gutter="0"/>
        </w:sectPr>
      </w:pPr>
    </w:p>
    <w:p>
      <w:pPr>
        <w:pStyle w:val="3"/>
        <w:spacing w:before="40"/>
        <w:ind w:left="120"/>
        <w:rPr>
          <w:rFonts w:hint="eastAsia" w:ascii="仿宋" w:eastAsia="仿宋"/>
        </w:rPr>
      </w:pPr>
      <w:r>
        <w:rPr>
          <w:rFonts w:hint="eastAsia" w:ascii="仿宋" w:eastAsia="仿宋"/>
        </w:rPr>
        <w:t>易促进服务业务开展过程中，采取以下保密措施：</w:t>
      </w:r>
    </w:p>
    <w:p>
      <w:pPr>
        <w:pStyle w:val="7"/>
        <w:numPr>
          <w:ilvl w:val="1"/>
          <w:numId w:val="2"/>
        </w:numPr>
        <w:tabs>
          <w:tab w:val="left" w:pos="960"/>
        </w:tabs>
        <w:spacing w:before="163" w:after="0" w:line="240" w:lineRule="auto"/>
        <w:ind w:left="960" w:right="257" w:hanging="280"/>
        <w:jc w:val="left"/>
        <w:rPr>
          <w:rFonts w:hint="eastAsia" w:ascii="仿宋" w:hAnsi="仿宋" w:eastAsia="仿宋"/>
          <w:sz w:val="24"/>
        </w:rPr>
      </w:pPr>
      <w:r>
        <w:rPr>
          <w:rFonts w:hint="eastAsia" w:ascii="仿宋" w:hAnsi="仿宋" w:eastAsia="仿宋"/>
          <w:sz w:val="24"/>
        </w:rPr>
        <w:t>除非获得供应端项目方授权，不将保密信息披露给保密信息范围之外的任何人；</w:t>
      </w:r>
    </w:p>
    <w:p>
      <w:pPr>
        <w:pStyle w:val="7"/>
        <w:numPr>
          <w:ilvl w:val="1"/>
          <w:numId w:val="2"/>
        </w:numPr>
        <w:tabs>
          <w:tab w:val="left" w:pos="960"/>
        </w:tabs>
        <w:spacing w:before="162" w:after="0" w:line="240" w:lineRule="auto"/>
        <w:ind w:left="960" w:right="0" w:hanging="280"/>
        <w:jc w:val="left"/>
        <w:rPr>
          <w:rFonts w:hint="eastAsia" w:ascii="仿宋" w:hAnsi="仿宋" w:eastAsia="仿宋"/>
          <w:sz w:val="24"/>
        </w:rPr>
      </w:pPr>
      <w:r>
        <w:rPr>
          <w:rFonts w:hint="eastAsia" w:ascii="仿宋" w:hAnsi="仿宋" w:eastAsia="仿宋"/>
          <w:sz w:val="24"/>
        </w:rPr>
        <w:t>尽其最大努力使保密信息处于保密状态；</w:t>
      </w:r>
    </w:p>
    <w:p>
      <w:pPr>
        <w:pStyle w:val="7"/>
        <w:numPr>
          <w:ilvl w:val="1"/>
          <w:numId w:val="2"/>
        </w:numPr>
        <w:tabs>
          <w:tab w:val="left" w:pos="960"/>
        </w:tabs>
        <w:spacing w:before="158" w:after="0" w:line="240" w:lineRule="auto"/>
        <w:ind w:left="960" w:right="0" w:hanging="280"/>
        <w:jc w:val="left"/>
        <w:rPr>
          <w:rFonts w:hint="eastAsia" w:ascii="仿宋" w:hAnsi="仿宋" w:eastAsia="仿宋"/>
          <w:sz w:val="24"/>
        </w:rPr>
      </w:pPr>
      <w:r>
        <w:rPr>
          <w:rFonts w:hint="eastAsia" w:ascii="仿宋" w:hAnsi="仿宋" w:eastAsia="仿宋"/>
          <w:sz w:val="24"/>
        </w:rPr>
        <w:t>将所有的保密信息与所有其他文件和记录分离开来；</w:t>
      </w:r>
    </w:p>
    <w:p>
      <w:pPr>
        <w:pStyle w:val="7"/>
        <w:numPr>
          <w:ilvl w:val="1"/>
          <w:numId w:val="2"/>
        </w:numPr>
        <w:tabs>
          <w:tab w:val="left" w:pos="960"/>
        </w:tabs>
        <w:spacing w:before="163" w:after="0" w:line="242" w:lineRule="auto"/>
        <w:ind w:left="960" w:right="257" w:hanging="280"/>
        <w:jc w:val="both"/>
        <w:rPr>
          <w:rFonts w:hint="eastAsia" w:ascii="仿宋" w:hAnsi="仿宋" w:eastAsia="仿宋"/>
          <w:sz w:val="24"/>
        </w:rPr>
      </w:pPr>
      <w:r>
        <w:rPr>
          <w:rFonts w:hint="eastAsia" w:ascii="仿宋" w:hAnsi="仿宋" w:eastAsia="仿宋"/>
          <w:sz w:val="24"/>
        </w:rPr>
        <w:t>对保密信息采取不低于对供应端项目方自己所有的机密信息的安全措施和注意程度，并且该方保证提供充分的保护措施以防止对保密信息的未经许可的披露、拷贝或使用；</w:t>
      </w:r>
    </w:p>
    <w:p>
      <w:pPr>
        <w:pStyle w:val="7"/>
        <w:numPr>
          <w:ilvl w:val="1"/>
          <w:numId w:val="2"/>
        </w:numPr>
        <w:tabs>
          <w:tab w:val="left" w:pos="960"/>
        </w:tabs>
        <w:spacing w:before="158" w:after="0" w:line="240" w:lineRule="auto"/>
        <w:ind w:left="960" w:right="257" w:hanging="280"/>
        <w:jc w:val="left"/>
        <w:rPr>
          <w:rFonts w:hint="eastAsia" w:ascii="仿宋" w:hAnsi="仿宋" w:eastAsia="仿宋"/>
          <w:sz w:val="24"/>
        </w:rPr>
      </w:pPr>
      <w:r>
        <w:rPr>
          <w:rFonts w:hint="eastAsia" w:ascii="仿宋" w:hAnsi="仿宋" w:eastAsia="仿宋"/>
          <w:sz w:val="24"/>
        </w:rPr>
        <w:t>确保保密信息不被双方以任何形式使用，损害供应端项目在目标市场未来的商业前景；</w:t>
      </w:r>
    </w:p>
    <w:p>
      <w:pPr>
        <w:pStyle w:val="3"/>
        <w:spacing w:before="163"/>
        <w:ind w:left="120" w:right="259" w:firstLine="480"/>
        <w:rPr>
          <w:rFonts w:hint="eastAsia" w:ascii="仿宋" w:eastAsia="仿宋"/>
        </w:rPr>
      </w:pPr>
      <w:r>
        <w:rPr>
          <w:rFonts w:hint="eastAsia" w:ascii="仿宋" w:eastAsia="仿宋"/>
        </w:rPr>
        <w:t>4</w:t>
      </w:r>
      <w:r>
        <w:rPr>
          <w:rFonts w:hint="eastAsia" w:ascii="仿宋" w:eastAsia="仿宋"/>
          <w:spacing w:val="-11"/>
        </w:rPr>
        <w:t>、 双方共同为供应端项目提供国际技术交易促进服务，应在与供应端项目</w:t>
      </w:r>
      <w:r>
        <w:rPr>
          <w:rFonts w:hint="eastAsia" w:ascii="仿宋" w:eastAsia="仿宋"/>
        </w:rPr>
        <w:t>达成合作协议之中，明确双方保密义务责任免除，包括并不限于以下：</w:t>
      </w:r>
    </w:p>
    <w:p>
      <w:pPr>
        <w:pStyle w:val="7"/>
        <w:numPr>
          <w:ilvl w:val="1"/>
          <w:numId w:val="2"/>
        </w:numPr>
        <w:tabs>
          <w:tab w:val="left" w:pos="960"/>
        </w:tabs>
        <w:spacing w:before="162" w:after="0" w:line="240" w:lineRule="auto"/>
        <w:ind w:left="960" w:right="0" w:hanging="280"/>
        <w:jc w:val="left"/>
        <w:rPr>
          <w:rFonts w:hint="eastAsia" w:ascii="仿宋" w:hAnsi="仿宋" w:eastAsia="仿宋"/>
          <w:sz w:val="24"/>
        </w:rPr>
      </w:pPr>
      <w:r>
        <w:rPr>
          <w:rFonts w:hint="eastAsia" w:ascii="仿宋" w:hAnsi="仿宋" w:eastAsia="仿宋"/>
          <w:sz w:val="24"/>
        </w:rPr>
        <w:t>从其他来源处获得而并非来自供应端项目的有关上述创新技术信息；</w:t>
      </w:r>
    </w:p>
    <w:p>
      <w:pPr>
        <w:pStyle w:val="7"/>
        <w:numPr>
          <w:ilvl w:val="1"/>
          <w:numId w:val="2"/>
        </w:numPr>
        <w:tabs>
          <w:tab w:val="left" w:pos="960"/>
        </w:tabs>
        <w:spacing w:before="163" w:after="0" w:line="240" w:lineRule="auto"/>
        <w:ind w:left="960" w:right="257" w:hanging="280"/>
        <w:jc w:val="left"/>
        <w:rPr>
          <w:rFonts w:hint="eastAsia" w:ascii="仿宋" w:hAnsi="仿宋" w:eastAsia="仿宋"/>
          <w:sz w:val="24"/>
        </w:rPr>
      </w:pPr>
      <w:r>
        <w:rPr>
          <w:rFonts w:hint="eastAsia" w:ascii="仿宋" w:hAnsi="仿宋" w:eastAsia="仿宋"/>
          <w:sz w:val="24"/>
        </w:rPr>
        <w:t>非由于双方违反保密义务而供应端项目方相关保密信息已经成为公众所能普遍获取的信息；</w:t>
      </w:r>
    </w:p>
    <w:p>
      <w:pPr>
        <w:pStyle w:val="7"/>
        <w:numPr>
          <w:ilvl w:val="1"/>
          <w:numId w:val="2"/>
        </w:numPr>
        <w:tabs>
          <w:tab w:val="left" w:pos="960"/>
        </w:tabs>
        <w:spacing w:before="158" w:after="0" w:line="240" w:lineRule="auto"/>
        <w:ind w:left="960" w:right="0" w:hanging="280"/>
        <w:jc w:val="left"/>
        <w:rPr>
          <w:rFonts w:hint="eastAsia" w:ascii="仿宋" w:hAnsi="仿宋" w:eastAsia="仿宋"/>
          <w:sz w:val="24"/>
        </w:rPr>
      </w:pPr>
      <w:r>
        <w:rPr>
          <w:rFonts w:hint="eastAsia" w:ascii="仿宋" w:hAnsi="仿宋" w:eastAsia="仿宋"/>
          <w:sz w:val="24"/>
        </w:rPr>
        <w:t>在披露时已经成为双方知悉和拥有的信息；</w:t>
      </w:r>
    </w:p>
    <w:p>
      <w:pPr>
        <w:pStyle w:val="7"/>
        <w:numPr>
          <w:ilvl w:val="1"/>
          <w:numId w:val="2"/>
        </w:numPr>
        <w:tabs>
          <w:tab w:val="left" w:pos="960"/>
        </w:tabs>
        <w:spacing w:before="163" w:after="0" w:line="240" w:lineRule="auto"/>
        <w:ind w:left="960" w:right="0" w:hanging="280"/>
        <w:jc w:val="left"/>
        <w:rPr>
          <w:rFonts w:hint="eastAsia" w:ascii="仿宋" w:hAnsi="仿宋" w:eastAsia="仿宋"/>
          <w:sz w:val="24"/>
        </w:rPr>
      </w:pPr>
      <w:r>
        <w:rPr>
          <w:rFonts w:hint="eastAsia" w:ascii="仿宋" w:hAnsi="仿宋" w:eastAsia="仿宋"/>
          <w:sz w:val="24"/>
        </w:rPr>
        <w:t>由于目标市场相关适用的法律、法规、规则需披露的信息；</w:t>
      </w:r>
    </w:p>
    <w:p>
      <w:pPr>
        <w:pStyle w:val="7"/>
        <w:numPr>
          <w:ilvl w:val="1"/>
          <w:numId w:val="2"/>
        </w:numPr>
        <w:tabs>
          <w:tab w:val="left" w:pos="960"/>
        </w:tabs>
        <w:spacing w:before="22" w:after="0" w:line="470" w:lineRule="exact"/>
        <w:ind w:left="600" w:right="257" w:firstLine="80"/>
        <w:jc w:val="left"/>
        <w:rPr>
          <w:rFonts w:hint="eastAsia" w:ascii="仿宋" w:hAnsi="仿宋" w:eastAsia="仿宋"/>
          <w:sz w:val="24"/>
        </w:rPr>
      </w:pPr>
      <w:r>
        <w:rPr>
          <w:rFonts w:hint="eastAsia" w:ascii="仿宋" w:hAnsi="仿宋" w:eastAsia="仿宋"/>
          <w:sz w:val="24"/>
        </w:rPr>
        <w:t>根据目标市场适用法律、法规或司法程序的要求强制披露的保密信息。5</w:t>
      </w:r>
      <w:r>
        <w:rPr>
          <w:rFonts w:hint="eastAsia" w:ascii="仿宋" w:hAnsi="仿宋" w:eastAsia="仿宋"/>
          <w:spacing w:val="-12"/>
          <w:sz w:val="24"/>
        </w:rPr>
        <w:t>、 如果因任何原因，双方与供应端项目方合作终止，或本协议被终止，双</w:t>
      </w:r>
    </w:p>
    <w:p>
      <w:pPr>
        <w:pStyle w:val="3"/>
        <w:spacing w:line="286" w:lineRule="exact"/>
        <w:ind w:left="120"/>
        <w:rPr>
          <w:rFonts w:hint="eastAsia" w:ascii="仿宋" w:eastAsia="仿宋"/>
        </w:rPr>
      </w:pPr>
      <w:r>
        <w:rPr>
          <w:rFonts w:hint="eastAsia" w:ascii="仿宋" w:eastAsia="仿宋"/>
        </w:rPr>
        <w:t>方应立即向信息披露方返还，或者应信息披露方的要求销毁，由信息披露方披露</w:t>
      </w:r>
    </w:p>
    <w:p>
      <w:pPr>
        <w:pStyle w:val="3"/>
        <w:ind w:left="120"/>
        <w:rPr>
          <w:rFonts w:hint="eastAsia" w:ascii="仿宋" w:eastAsia="仿宋"/>
        </w:rPr>
      </w:pPr>
      <w:r>
        <w:rPr>
          <w:rFonts w:hint="eastAsia" w:ascii="仿宋" w:eastAsia="仿宋"/>
        </w:rPr>
        <w:t>的包含保密信息在内的所有资料，但其保密义务并不因此而被免除；</w:t>
      </w:r>
    </w:p>
    <w:p>
      <w:pPr>
        <w:pStyle w:val="3"/>
        <w:spacing w:before="163" w:line="242" w:lineRule="auto"/>
        <w:ind w:left="120" w:right="135" w:firstLine="480"/>
        <w:rPr>
          <w:rFonts w:hint="eastAsia" w:ascii="仿宋" w:eastAsia="仿宋"/>
        </w:rPr>
      </w:pPr>
      <w:r>
        <w:rPr>
          <w:rFonts w:hint="eastAsia" w:ascii="仿宋" w:eastAsia="仿宋"/>
        </w:rPr>
        <w:t>6</w:t>
      </w:r>
      <w:r>
        <w:rPr>
          <w:rFonts w:hint="eastAsia" w:ascii="仿宋" w:eastAsia="仿宋"/>
          <w:spacing w:val="-2"/>
        </w:rPr>
        <w:t>、 双方共同为供应端项目提供国际技术交易促进服务，应遵守国际公约、</w:t>
      </w:r>
      <w:r>
        <w:rPr>
          <w:rFonts w:hint="eastAsia" w:ascii="仿宋" w:eastAsia="仿宋"/>
          <w:spacing w:val="-10"/>
        </w:rPr>
        <w:t>遵守国家法律法规、遵守知识产权保护规则等工作原则，如有任何法律纠纷或损</w:t>
      </w:r>
      <w:r>
        <w:rPr>
          <w:rFonts w:hint="eastAsia" w:ascii="仿宋" w:eastAsia="仿宋"/>
          <w:spacing w:val="-14"/>
        </w:rPr>
        <w:t>害赔偿诉求因此产生，双方将根据各自责任，独立承担，另外一方将不承担任何责任，并有权提出相应诉求。</w:t>
      </w:r>
    </w:p>
    <w:p>
      <w:pPr>
        <w:pStyle w:val="3"/>
        <w:spacing w:before="159" w:line="242" w:lineRule="auto"/>
        <w:ind w:left="120" w:right="259" w:firstLine="480"/>
        <w:jc w:val="both"/>
        <w:rPr>
          <w:rFonts w:hint="eastAsia" w:ascii="仿宋" w:eastAsia="仿宋"/>
        </w:rPr>
      </w:pPr>
      <w:r>
        <w:rPr>
          <w:rFonts w:hint="eastAsia" w:ascii="仿宋" w:eastAsia="仿宋"/>
        </w:rPr>
        <w:t>7</w:t>
      </w:r>
      <w:r>
        <w:rPr>
          <w:rFonts w:hint="eastAsia" w:ascii="仿宋" w:eastAsia="仿宋"/>
          <w:spacing w:val="-11"/>
        </w:rPr>
        <w:t>、 双方共同为供应端项目提供国际技术交易促进服务，如相关供应端项目</w:t>
      </w:r>
      <w:r>
        <w:rPr>
          <w:rFonts w:hint="eastAsia" w:ascii="仿宋" w:eastAsia="仿宋"/>
          <w:spacing w:val="-6"/>
        </w:rPr>
        <w:t>未能履行与双方签订的协议或协议违约，平台与经理人双方将作为一方，共同通</w:t>
      </w:r>
      <w:r>
        <w:rPr>
          <w:rFonts w:hint="eastAsia" w:ascii="仿宋" w:eastAsia="仿宋"/>
        </w:rPr>
        <w:t>过法律手段申请相关权利，双方彼此互相不承担相关直接责任。</w:t>
      </w:r>
    </w:p>
    <w:p>
      <w:pPr>
        <w:pStyle w:val="3"/>
        <w:spacing w:before="158" w:line="242" w:lineRule="auto"/>
        <w:ind w:left="120" w:right="257" w:firstLine="480"/>
        <w:jc w:val="both"/>
        <w:rPr>
          <w:rFonts w:hint="eastAsia" w:ascii="仿宋" w:eastAsia="仿宋"/>
        </w:rPr>
      </w:pPr>
      <w:r>
        <w:rPr>
          <w:rFonts w:hint="eastAsia" w:ascii="仿宋" w:eastAsia="仿宋"/>
        </w:rPr>
        <w:t>8</w:t>
      </w:r>
      <w:r>
        <w:rPr>
          <w:rFonts w:hint="eastAsia" w:ascii="仿宋" w:eastAsia="仿宋"/>
          <w:spacing w:val="-12"/>
        </w:rPr>
        <w:t>、 除非双方与供应端项目另外达成一致，并在与供应端项目合作协议之中落实确认，双方均不得提出在相关供应端项目阶段性技术成果文件上写明技术成</w:t>
      </w:r>
      <w:r>
        <w:rPr>
          <w:rFonts w:hint="eastAsia" w:ascii="仿宋" w:eastAsia="仿宋"/>
          <w:spacing w:val="-7"/>
        </w:rPr>
        <w:t>果完成者的权利和取得有关荣誉证书、奖励的权利，同时，双方均不得利用相关</w:t>
      </w:r>
      <w:r>
        <w:rPr>
          <w:rFonts w:hint="eastAsia" w:ascii="仿宋" w:eastAsia="仿宋"/>
          <w:spacing w:val="-9"/>
        </w:rPr>
        <w:t>供应端项目创新技术成果，进行后续改进，或由此产生的具有实质性或创造性技</w:t>
      </w:r>
      <w:r>
        <w:rPr>
          <w:rFonts w:hint="eastAsia" w:ascii="仿宋" w:eastAsia="仿宋"/>
        </w:rPr>
        <w:t>术进步特征的新的技术成果。</w:t>
      </w:r>
    </w:p>
    <w:sectPr>
      <w:pgSz w:w="11900" w:h="16840"/>
      <w:pgMar w:top="1400" w:right="1540" w:bottom="1200" w:left="1680" w:header="0" w:footer="100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461632" behindDoc="1" locked="0" layoutInCell="1" allowOverlap="1">
              <wp:simplePos x="0" y="0"/>
              <wp:positionH relativeFrom="page">
                <wp:posOffset>3333750</wp:posOffset>
              </wp:positionH>
              <wp:positionV relativeFrom="page">
                <wp:posOffset>9914890</wp:posOffset>
              </wp:positionV>
              <wp:extent cx="890905" cy="146685"/>
              <wp:effectExtent l="0" t="0" r="0" b="0"/>
              <wp:wrapNone/>
              <wp:docPr id="2" name="文本框 1"/>
              <wp:cNvGraphicFramePr/>
              <a:graphic xmlns:a="http://schemas.openxmlformats.org/drawingml/2006/main">
                <a:graphicData uri="http://schemas.microsoft.com/office/word/2010/wordprocessingShape">
                  <wps:wsp>
                    <wps:cNvSpPr txBox="1"/>
                    <wps:spPr>
                      <a:xfrm>
                        <a:off x="0" y="0"/>
                        <a:ext cx="890905" cy="146685"/>
                      </a:xfrm>
                      <a:prstGeom prst="rect">
                        <a:avLst/>
                      </a:prstGeom>
                      <a:noFill/>
                      <a:ln>
                        <a:noFill/>
                      </a:ln>
                    </wps:spPr>
                    <wps:txbx>
                      <w:txbxContent>
                        <w:p>
                          <w:pPr>
                            <w:spacing w:before="0" w:line="230" w:lineRule="exact"/>
                            <w:ind w:left="20" w:right="0" w:firstLine="0"/>
                            <w:jc w:val="left"/>
                            <w:rPr>
                              <w:rFonts w:hint="eastAsia" w:ascii="等线" w:eastAsia="等线"/>
                              <w:sz w:val="18"/>
                            </w:rPr>
                          </w:pPr>
                          <w:r>
                            <w:rPr>
                              <w:rFonts w:hint="eastAsia" w:ascii="等线" w:eastAsia="等线"/>
                              <w:sz w:val="18"/>
                            </w:rPr>
                            <w:t xml:space="preserve">第 </w:t>
                          </w:r>
                          <w:r>
                            <w:fldChar w:fldCharType="begin"/>
                          </w:r>
                          <w:r>
                            <w:rPr>
                              <w:rFonts w:hint="eastAsia" w:ascii="等线" w:eastAsia="等线"/>
                              <w:sz w:val="18"/>
                            </w:rPr>
                            <w:instrText xml:space="preserve"> PAGE </w:instrText>
                          </w:r>
                          <w:r>
                            <w:fldChar w:fldCharType="separate"/>
                          </w:r>
                          <w:r>
                            <w:t>1</w:t>
                          </w:r>
                          <w:r>
                            <w:fldChar w:fldCharType="end"/>
                          </w:r>
                          <w:r>
                            <w:rPr>
                              <w:rFonts w:hint="eastAsia" w:ascii="等线" w:eastAsia="等线"/>
                              <w:sz w:val="18"/>
                            </w:rPr>
                            <w:t xml:space="preserve"> 页 共 7 页</w:t>
                          </w:r>
                        </w:p>
                      </w:txbxContent>
                    </wps:txbx>
                    <wps:bodyPr lIns="0" tIns="0" rIns="0" bIns="0" upright="1"/>
                  </wps:wsp>
                </a:graphicData>
              </a:graphic>
            </wp:anchor>
          </w:drawing>
        </mc:Choice>
        <mc:Fallback>
          <w:pict>
            <v:shape id="文本框 1" o:spid="_x0000_s1026" o:spt="202" type="#_x0000_t202" style="position:absolute;left:0pt;margin-left:262.5pt;margin-top:780.7pt;height:11.55pt;width:70.15pt;mso-position-horizontal-relative:page;mso-position-vertical-relative:page;z-index:-251854848;mso-width-relative:page;mso-height-relative:page;" filled="f" stroked="f" coordsize="21600,21600" o:gfxdata="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LQaeDbAAAADQEAAA8AAAAA&#10;AAAAAQAgAAAAIgAAAGRycy9kb3ducmV2LnhtbFBLAQIUABQAAAAIAIdO4kAgO73jnwEAACMDAAAO&#10;AAAAAAAAAAEAIAAAACoBAABkcnMvZTJvRG9jLnhtbFBLBQYAAAAABgAGAFkBAAA7BQAAAAA=&#10;">
              <v:fill on="f" focussize="0,0"/>
              <v:stroke on="f"/>
              <v:imagedata o:title=""/>
              <o:lock v:ext="edit" aspectratio="f"/>
              <v:textbox inset="0mm,0mm,0mm,0mm">
                <w:txbxContent>
                  <w:p>
                    <w:pPr>
                      <w:spacing w:before="0" w:line="230" w:lineRule="exact"/>
                      <w:ind w:left="20" w:right="0" w:firstLine="0"/>
                      <w:jc w:val="left"/>
                      <w:rPr>
                        <w:rFonts w:hint="eastAsia" w:ascii="等线" w:eastAsia="等线"/>
                        <w:sz w:val="18"/>
                      </w:rPr>
                    </w:pPr>
                    <w:r>
                      <w:rPr>
                        <w:rFonts w:hint="eastAsia" w:ascii="等线" w:eastAsia="等线"/>
                        <w:sz w:val="18"/>
                      </w:rPr>
                      <w:t xml:space="preserve">第 </w:t>
                    </w:r>
                    <w:r>
                      <w:fldChar w:fldCharType="begin"/>
                    </w:r>
                    <w:r>
                      <w:rPr>
                        <w:rFonts w:hint="eastAsia" w:ascii="等线" w:eastAsia="等线"/>
                        <w:sz w:val="18"/>
                      </w:rPr>
                      <w:instrText xml:space="preserve"> PAGE </w:instrText>
                    </w:r>
                    <w:r>
                      <w:fldChar w:fldCharType="separate"/>
                    </w:r>
                    <w:r>
                      <w:t>1</w:t>
                    </w:r>
                    <w:r>
                      <w:fldChar w:fldCharType="end"/>
                    </w:r>
                    <w:r>
                      <w:rPr>
                        <w:rFonts w:hint="eastAsia" w:ascii="等线" w:eastAsia="等线"/>
                        <w:sz w:val="18"/>
                      </w:rPr>
                      <w:t xml:space="preserve"> 页 共 7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545" w:hanging="425"/>
        <w:jc w:val="left"/>
      </w:pPr>
      <w:rPr>
        <w:rFonts w:hint="default" w:ascii="仿宋_GB2312" w:hAnsi="仿宋_GB2312" w:eastAsia="仿宋_GB2312" w:cs="仿宋_GB2312"/>
        <w:spacing w:val="-55"/>
        <w:w w:val="100"/>
        <w:sz w:val="24"/>
        <w:szCs w:val="24"/>
        <w:lang w:val="zh-CN" w:eastAsia="zh-CN" w:bidi="zh-CN"/>
      </w:rPr>
    </w:lvl>
    <w:lvl w:ilvl="1" w:tentative="0">
      <w:start w:val="0"/>
      <w:numFmt w:val="bullet"/>
      <w:lvlText w:val=""/>
      <w:lvlJc w:val="left"/>
      <w:pPr>
        <w:ind w:left="960" w:hanging="280"/>
      </w:pPr>
      <w:rPr>
        <w:rFonts w:hint="default" w:ascii="Wingdings" w:hAnsi="Wingdings" w:eastAsia="Wingdings" w:cs="Wingdings"/>
        <w:w w:val="100"/>
        <w:sz w:val="24"/>
        <w:szCs w:val="24"/>
        <w:lang w:val="zh-CN" w:eastAsia="zh-CN" w:bidi="zh-CN"/>
      </w:rPr>
    </w:lvl>
    <w:lvl w:ilvl="2" w:tentative="0">
      <w:start w:val="0"/>
      <w:numFmt w:val="bullet"/>
      <w:lvlText w:val="•"/>
      <w:lvlJc w:val="left"/>
      <w:pPr>
        <w:ind w:left="1817" w:hanging="280"/>
      </w:pPr>
      <w:rPr>
        <w:rFonts w:hint="default"/>
        <w:lang w:val="zh-CN" w:eastAsia="zh-CN" w:bidi="zh-CN"/>
      </w:rPr>
    </w:lvl>
    <w:lvl w:ilvl="3" w:tentative="0">
      <w:start w:val="0"/>
      <w:numFmt w:val="bullet"/>
      <w:lvlText w:val="•"/>
      <w:lvlJc w:val="left"/>
      <w:pPr>
        <w:ind w:left="2675" w:hanging="280"/>
      </w:pPr>
      <w:rPr>
        <w:rFonts w:hint="default"/>
        <w:lang w:val="zh-CN" w:eastAsia="zh-CN" w:bidi="zh-CN"/>
      </w:rPr>
    </w:lvl>
    <w:lvl w:ilvl="4" w:tentative="0">
      <w:start w:val="0"/>
      <w:numFmt w:val="bullet"/>
      <w:lvlText w:val="•"/>
      <w:lvlJc w:val="left"/>
      <w:pPr>
        <w:ind w:left="3533" w:hanging="280"/>
      </w:pPr>
      <w:rPr>
        <w:rFonts w:hint="default"/>
        <w:lang w:val="zh-CN" w:eastAsia="zh-CN" w:bidi="zh-CN"/>
      </w:rPr>
    </w:lvl>
    <w:lvl w:ilvl="5" w:tentative="0">
      <w:start w:val="0"/>
      <w:numFmt w:val="bullet"/>
      <w:lvlText w:val="•"/>
      <w:lvlJc w:val="left"/>
      <w:pPr>
        <w:ind w:left="4391" w:hanging="280"/>
      </w:pPr>
      <w:rPr>
        <w:rFonts w:hint="default"/>
        <w:lang w:val="zh-CN" w:eastAsia="zh-CN" w:bidi="zh-CN"/>
      </w:rPr>
    </w:lvl>
    <w:lvl w:ilvl="6" w:tentative="0">
      <w:start w:val="0"/>
      <w:numFmt w:val="bullet"/>
      <w:lvlText w:val="•"/>
      <w:lvlJc w:val="left"/>
      <w:pPr>
        <w:ind w:left="5248" w:hanging="280"/>
      </w:pPr>
      <w:rPr>
        <w:rFonts w:hint="default"/>
        <w:lang w:val="zh-CN" w:eastAsia="zh-CN" w:bidi="zh-CN"/>
      </w:rPr>
    </w:lvl>
    <w:lvl w:ilvl="7" w:tentative="0">
      <w:start w:val="0"/>
      <w:numFmt w:val="bullet"/>
      <w:lvlText w:val="•"/>
      <w:lvlJc w:val="left"/>
      <w:pPr>
        <w:ind w:left="6106" w:hanging="280"/>
      </w:pPr>
      <w:rPr>
        <w:rFonts w:hint="default"/>
        <w:lang w:val="zh-CN" w:eastAsia="zh-CN" w:bidi="zh-CN"/>
      </w:rPr>
    </w:lvl>
    <w:lvl w:ilvl="8" w:tentative="0">
      <w:start w:val="0"/>
      <w:numFmt w:val="bullet"/>
      <w:lvlText w:val="•"/>
      <w:lvlJc w:val="left"/>
      <w:pPr>
        <w:ind w:left="6964" w:hanging="280"/>
      </w:pPr>
      <w:rPr>
        <w:rFonts w:hint="default"/>
        <w:lang w:val="zh-CN" w:eastAsia="zh-CN" w:bidi="zh-CN"/>
      </w:rPr>
    </w:lvl>
  </w:abstractNum>
  <w:abstractNum w:abstractNumId="1">
    <w:nsid w:val="59ADCABA"/>
    <w:multiLevelType w:val="multilevel"/>
    <w:tmpl w:val="59ADCABA"/>
    <w:lvl w:ilvl="0" w:tentative="0">
      <w:start w:val="1"/>
      <w:numFmt w:val="decimal"/>
      <w:lvlText w:val="%1."/>
      <w:lvlJc w:val="left"/>
      <w:pPr>
        <w:ind w:left="545" w:hanging="425"/>
        <w:jc w:val="left"/>
      </w:pPr>
      <w:rPr>
        <w:rFonts w:hint="default" w:ascii="仿宋_GB2312" w:hAnsi="仿宋_GB2312" w:eastAsia="仿宋_GB2312" w:cs="仿宋_GB2312"/>
        <w:spacing w:val="-55"/>
        <w:w w:val="100"/>
        <w:sz w:val="24"/>
        <w:szCs w:val="24"/>
        <w:lang w:val="zh-CN" w:eastAsia="zh-CN" w:bidi="zh-CN"/>
      </w:rPr>
    </w:lvl>
    <w:lvl w:ilvl="1" w:tentative="0">
      <w:start w:val="0"/>
      <w:numFmt w:val="bullet"/>
      <w:lvlText w:val=""/>
      <w:lvlJc w:val="left"/>
      <w:pPr>
        <w:ind w:left="1380" w:hanging="620"/>
      </w:pPr>
      <w:rPr>
        <w:rFonts w:hint="default" w:ascii="Wingdings" w:hAnsi="Wingdings" w:eastAsia="Wingdings" w:cs="Wingdings"/>
        <w:w w:val="100"/>
        <w:sz w:val="24"/>
        <w:szCs w:val="24"/>
        <w:lang w:val="zh-CN" w:eastAsia="zh-CN" w:bidi="zh-CN"/>
      </w:rPr>
    </w:lvl>
    <w:lvl w:ilvl="2" w:tentative="0">
      <w:start w:val="0"/>
      <w:numFmt w:val="bullet"/>
      <w:lvlText w:val="•"/>
      <w:lvlJc w:val="left"/>
      <w:pPr>
        <w:ind w:left="2191" w:hanging="620"/>
      </w:pPr>
      <w:rPr>
        <w:rFonts w:hint="default"/>
        <w:lang w:val="zh-CN" w:eastAsia="zh-CN" w:bidi="zh-CN"/>
      </w:rPr>
    </w:lvl>
    <w:lvl w:ilvl="3" w:tentative="0">
      <w:start w:val="0"/>
      <w:numFmt w:val="bullet"/>
      <w:lvlText w:val="•"/>
      <w:lvlJc w:val="left"/>
      <w:pPr>
        <w:ind w:left="3002" w:hanging="620"/>
      </w:pPr>
      <w:rPr>
        <w:rFonts w:hint="default"/>
        <w:lang w:val="zh-CN" w:eastAsia="zh-CN" w:bidi="zh-CN"/>
      </w:rPr>
    </w:lvl>
    <w:lvl w:ilvl="4" w:tentative="0">
      <w:start w:val="0"/>
      <w:numFmt w:val="bullet"/>
      <w:lvlText w:val="•"/>
      <w:lvlJc w:val="left"/>
      <w:pPr>
        <w:ind w:left="3813" w:hanging="620"/>
      </w:pPr>
      <w:rPr>
        <w:rFonts w:hint="default"/>
        <w:lang w:val="zh-CN" w:eastAsia="zh-CN" w:bidi="zh-CN"/>
      </w:rPr>
    </w:lvl>
    <w:lvl w:ilvl="5" w:tentative="0">
      <w:start w:val="0"/>
      <w:numFmt w:val="bullet"/>
      <w:lvlText w:val="•"/>
      <w:lvlJc w:val="left"/>
      <w:pPr>
        <w:ind w:left="4624" w:hanging="620"/>
      </w:pPr>
      <w:rPr>
        <w:rFonts w:hint="default"/>
        <w:lang w:val="zh-CN" w:eastAsia="zh-CN" w:bidi="zh-CN"/>
      </w:rPr>
    </w:lvl>
    <w:lvl w:ilvl="6" w:tentative="0">
      <w:start w:val="0"/>
      <w:numFmt w:val="bullet"/>
      <w:lvlText w:val="•"/>
      <w:lvlJc w:val="left"/>
      <w:pPr>
        <w:ind w:left="5435" w:hanging="620"/>
      </w:pPr>
      <w:rPr>
        <w:rFonts w:hint="default"/>
        <w:lang w:val="zh-CN" w:eastAsia="zh-CN" w:bidi="zh-CN"/>
      </w:rPr>
    </w:lvl>
    <w:lvl w:ilvl="7" w:tentative="0">
      <w:start w:val="0"/>
      <w:numFmt w:val="bullet"/>
      <w:lvlText w:val="•"/>
      <w:lvlJc w:val="left"/>
      <w:pPr>
        <w:ind w:left="6246" w:hanging="620"/>
      </w:pPr>
      <w:rPr>
        <w:rFonts w:hint="default"/>
        <w:lang w:val="zh-CN" w:eastAsia="zh-CN" w:bidi="zh-CN"/>
      </w:rPr>
    </w:lvl>
    <w:lvl w:ilvl="8" w:tentative="0">
      <w:start w:val="0"/>
      <w:numFmt w:val="bullet"/>
      <w:lvlText w:val="•"/>
      <w:lvlJc w:val="left"/>
      <w:pPr>
        <w:ind w:left="7057" w:hanging="62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A2E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761"/>
      <w:outlineLvl w:val="1"/>
    </w:pPr>
    <w:rPr>
      <w:rFonts w:ascii="仿宋" w:hAnsi="仿宋" w:eastAsia="仿宋" w:cs="仿宋"/>
      <w:b/>
      <w:bCs/>
      <w:sz w:val="27"/>
      <w:szCs w:val="27"/>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380"/>
    </w:pPr>
    <w:rPr>
      <w:rFonts w:ascii="仿宋_GB2312" w:hAnsi="仿宋_GB2312" w:eastAsia="仿宋_GB2312" w:cs="仿宋_GB2312"/>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34"/>
      <w:ind w:left="1380" w:hanging="621"/>
    </w:pPr>
    <w:rPr>
      <w:rFonts w:ascii="仿宋_GB2312" w:hAnsi="仿宋_GB2312" w:eastAsia="仿宋_GB2312" w:cs="仿宋_GB2312"/>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2020-04-11T08:04:00Z</dcterms:created>
  <dc:creator>Administrator</dc:creator>
  <cp:lastModifiedBy>梦游艾丽斯</cp:lastModifiedBy>
  <dcterms:modified xsi:type="dcterms:W3CDTF">2020-04-11T08:04:47Z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